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CD" w:rsidRDefault="00E258CD" w:rsidP="00E258CD">
      <w:pPr>
        <w:ind w:left="360"/>
        <w:rPr>
          <w:rFonts w:ascii="Times New Roman" w:hAnsi="Times New Roman"/>
        </w:rPr>
      </w:pPr>
      <w:bookmarkStart w:id="0" w:name="_Toc235259178"/>
      <w:bookmarkStart w:id="1" w:name="_Toc235265030"/>
      <w:bookmarkStart w:id="2" w:name="_Toc235265287"/>
    </w:p>
    <w:p w:rsidR="00F22F78" w:rsidRPr="007C3FF5" w:rsidRDefault="00F22F78" w:rsidP="00B213FF">
      <w:pPr>
        <w:rPr>
          <w:rFonts w:ascii="Times New Roman" w:hAnsi="Times New Roman"/>
        </w:rPr>
      </w:pPr>
      <w:r w:rsidRPr="007C3FF5">
        <w:rPr>
          <w:rFonts w:ascii="Times New Roman" w:hAnsi="Times New Roman"/>
          <w:noProof/>
          <w:lang w:bidi="ar-SA"/>
        </w:rPr>
        <w:drawing>
          <wp:anchor distT="0" distB="0" distL="114300" distR="114300" simplePos="0" relativeHeight="251657728" behindDoc="1" locked="0" layoutInCell="1" allowOverlap="1">
            <wp:simplePos x="0" y="0"/>
            <wp:positionH relativeFrom="column">
              <wp:posOffset>20320</wp:posOffset>
            </wp:positionH>
            <wp:positionV relativeFrom="paragraph">
              <wp:posOffset>-814070</wp:posOffset>
            </wp:positionV>
            <wp:extent cx="2054860" cy="571500"/>
            <wp:effectExtent l="19050" t="0" r="2540" b="0"/>
            <wp:wrapTight wrapText="bothSides">
              <wp:wrapPolygon edited="0">
                <wp:start x="-200" y="0"/>
                <wp:lineTo x="-200" y="20880"/>
                <wp:lineTo x="21627" y="20880"/>
                <wp:lineTo x="21627" y="0"/>
                <wp:lineTo x="-200" y="0"/>
              </wp:wrapPolygon>
            </wp:wrapTight>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cstate="print"/>
                    <a:srcRect/>
                    <a:stretch>
                      <a:fillRect/>
                    </a:stretch>
                  </pic:blipFill>
                  <pic:spPr bwMode="auto">
                    <a:xfrm>
                      <a:off x="0" y="0"/>
                      <a:ext cx="2054860" cy="571500"/>
                    </a:xfrm>
                    <a:prstGeom prst="rect">
                      <a:avLst/>
                    </a:prstGeom>
                    <a:noFill/>
                    <a:ln w="9525">
                      <a:noFill/>
                      <a:miter lim="800000"/>
                      <a:headEnd/>
                      <a:tailEnd/>
                    </a:ln>
                  </pic:spPr>
                </pic:pic>
              </a:graphicData>
            </a:graphic>
          </wp:anchor>
        </w:drawing>
      </w:r>
    </w:p>
    <w:p w:rsidR="00E258CD" w:rsidRPr="007C3FF5" w:rsidRDefault="00E258CD" w:rsidP="00E258CD"/>
    <w:tbl>
      <w:tblPr>
        <w:tblStyle w:val="TableGrid"/>
        <w:tblW w:w="0" w:type="auto"/>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Look w:val="04A0"/>
      </w:tblPr>
      <w:tblGrid>
        <w:gridCol w:w="8296"/>
      </w:tblGrid>
      <w:tr w:rsidR="00E258CD" w:rsidRPr="007C3FF5" w:rsidTr="00E258CD">
        <w:tc>
          <w:tcPr>
            <w:tcW w:w="9242" w:type="dxa"/>
          </w:tcPr>
          <w:p w:rsidR="00E258CD" w:rsidRPr="007C3FF5" w:rsidRDefault="00E258CD" w:rsidP="00E258CD">
            <w:pPr>
              <w:pStyle w:val="Title"/>
              <w:pBdr>
                <w:bottom w:val="none" w:sz="0" w:space="0" w:color="auto"/>
              </w:pBdr>
              <w:spacing w:line="276" w:lineRule="auto"/>
              <w:jc w:val="left"/>
              <w:rPr>
                <w:rFonts w:ascii="Times New Roman" w:hAnsi="Times New Roman"/>
                <w:i/>
                <w:color w:val="243F60"/>
                <w:sz w:val="48"/>
                <w:szCs w:val="48"/>
              </w:rPr>
            </w:pPr>
          </w:p>
          <w:p w:rsidR="00E258CD" w:rsidRPr="007C3FF5" w:rsidRDefault="00E258CD" w:rsidP="00E258CD">
            <w:pPr>
              <w:pStyle w:val="Title"/>
              <w:pBdr>
                <w:bottom w:val="none" w:sz="0" w:space="0" w:color="auto"/>
              </w:pBdr>
              <w:spacing w:line="276" w:lineRule="auto"/>
              <w:jc w:val="left"/>
              <w:rPr>
                <w:rFonts w:ascii="Times New Roman" w:hAnsi="Times New Roman"/>
                <w:i/>
                <w:color w:val="243F60"/>
                <w:sz w:val="48"/>
                <w:szCs w:val="48"/>
              </w:rPr>
            </w:pPr>
            <w:r w:rsidRPr="007C3FF5">
              <w:rPr>
                <w:rFonts w:ascii="Times New Roman" w:hAnsi="Times New Roman" w:cs="Times New Roman"/>
                <w:color w:val="243F60"/>
                <w:sz w:val="48"/>
                <w:szCs w:val="48"/>
              </w:rPr>
              <w:t xml:space="preserve">Scoping study to develop a set of </w:t>
            </w:r>
            <w:r w:rsidR="00425E20" w:rsidRPr="007C3FF5">
              <w:rPr>
                <w:rFonts w:ascii="Times New Roman" w:hAnsi="Times New Roman" w:cs="Times New Roman"/>
                <w:color w:val="243F60"/>
                <w:sz w:val="48"/>
                <w:szCs w:val="48"/>
              </w:rPr>
              <w:t>Supply Use Tables</w:t>
            </w:r>
            <w:r w:rsidRPr="007C3FF5">
              <w:rPr>
                <w:rFonts w:ascii="Times New Roman" w:hAnsi="Times New Roman" w:cs="Times New Roman"/>
                <w:color w:val="243F60"/>
                <w:sz w:val="48"/>
                <w:szCs w:val="48"/>
              </w:rPr>
              <w:t xml:space="preserve"> for Northern Ireland</w:t>
            </w:r>
            <w:r w:rsidRPr="007C3FF5">
              <w:rPr>
                <w:rFonts w:ascii="Times New Roman" w:hAnsi="Times New Roman" w:cs="Times New Roman"/>
                <w:i/>
                <w:color w:val="243F60"/>
                <w:sz w:val="48"/>
                <w:szCs w:val="48"/>
              </w:rPr>
              <w:t xml:space="preserve"> </w:t>
            </w:r>
          </w:p>
          <w:p w:rsidR="00E258CD" w:rsidRPr="007C3FF5" w:rsidRDefault="00E258CD" w:rsidP="00E258CD">
            <w:pPr>
              <w:pStyle w:val="Title"/>
              <w:pBdr>
                <w:bottom w:val="none" w:sz="0" w:space="0" w:color="auto"/>
              </w:pBdr>
              <w:spacing w:after="0" w:line="276" w:lineRule="auto"/>
              <w:jc w:val="left"/>
              <w:rPr>
                <w:rFonts w:ascii="Times New Roman" w:hAnsi="Times New Roman" w:cs="Times New Roman"/>
                <w:i/>
                <w:color w:val="243F60"/>
                <w:sz w:val="48"/>
                <w:szCs w:val="48"/>
              </w:rPr>
            </w:pPr>
          </w:p>
          <w:p w:rsidR="00701300" w:rsidRPr="007C3FF5" w:rsidRDefault="00701300" w:rsidP="00371C2D">
            <w:pPr>
              <w:pStyle w:val="Title"/>
              <w:pBdr>
                <w:bottom w:val="none" w:sz="0" w:space="0" w:color="auto"/>
              </w:pBdr>
              <w:spacing w:line="276" w:lineRule="auto"/>
              <w:rPr>
                <w:rFonts w:ascii="Times New Roman" w:hAnsi="Times New Roman" w:cs="Times New Roman"/>
                <w:color w:val="243F60"/>
                <w:sz w:val="40"/>
                <w:szCs w:val="40"/>
              </w:rPr>
            </w:pPr>
            <w:r w:rsidRPr="007C3FF5">
              <w:rPr>
                <w:rFonts w:ascii="Times New Roman" w:hAnsi="Times New Roman" w:cs="Times New Roman"/>
                <w:color w:val="243F60"/>
                <w:sz w:val="40"/>
                <w:szCs w:val="40"/>
              </w:rPr>
              <w:t>Interim Report</w:t>
            </w:r>
          </w:p>
          <w:p w:rsidR="00701300" w:rsidRPr="007C3FF5" w:rsidRDefault="00701300" w:rsidP="00701300"/>
          <w:p w:rsidR="00E258CD" w:rsidRPr="007C3FF5" w:rsidRDefault="00E258CD" w:rsidP="00E258CD">
            <w:pPr>
              <w:pStyle w:val="Title"/>
              <w:pBdr>
                <w:bottom w:val="none" w:sz="0" w:space="0" w:color="auto"/>
              </w:pBdr>
              <w:spacing w:line="276" w:lineRule="auto"/>
              <w:jc w:val="left"/>
              <w:rPr>
                <w:rFonts w:ascii="Times New Roman" w:hAnsi="Times New Roman"/>
                <w:i/>
                <w:sz w:val="28"/>
                <w:szCs w:val="28"/>
              </w:rPr>
            </w:pPr>
            <w:r w:rsidRPr="007C3FF5">
              <w:rPr>
                <w:rFonts w:ascii="Times New Roman" w:hAnsi="Times New Roman"/>
                <w:i/>
                <w:color w:val="243F60"/>
                <w:sz w:val="28"/>
                <w:szCs w:val="28"/>
              </w:rPr>
              <w:t>Prepared for the Northern Ireland Statistics and Research Agency</w:t>
            </w:r>
          </w:p>
        </w:tc>
      </w:tr>
    </w:tbl>
    <w:p w:rsidR="00E258CD" w:rsidRPr="007C3FF5" w:rsidRDefault="00E258CD" w:rsidP="00B20B34">
      <w:pPr>
        <w:pStyle w:val="NoSpacing"/>
      </w:pPr>
    </w:p>
    <w:p w:rsidR="00215FEA" w:rsidRPr="007C3FF5" w:rsidRDefault="00215FEA" w:rsidP="00B20B34">
      <w:pPr>
        <w:pStyle w:val="NoSpacing"/>
        <w:rPr>
          <w:rFonts w:ascii="Times New Roman" w:hAnsi="Times New Roman"/>
        </w:rPr>
      </w:pPr>
    </w:p>
    <w:p w:rsidR="00E258CD" w:rsidRPr="007C3FF5" w:rsidRDefault="00E258CD" w:rsidP="00B20B34">
      <w:pPr>
        <w:pStyle w:val="NoSpacing"/>
        <w:rPr>
          <w:rFonts w:ascii="Times New Roman" w:hAnsi="Times New Roman"/>
        </w:rPr>
      </w:pPr>
    </w:p>
    <w:p w:rsidR="00E258CD" w:rsidRPr="007C3FF5" w:rsidRDefault="00E258CD" w:rsidP="00B20B34">
      <w:pPr>
        <w:pStyle w:val="NoSpacing"/>
        <w:rPr>
          <w:rFonts w:ascii="Times New Roman" w:hAnsi="Times New Roman"/>
        </w:rPr>
      </w:pPr>
    </w:p>
    <w:p w:rsidR="00E258CD" w:rsidRPr="007C3FF5" w:rsidRDefault="00E258CD" w:rsidP="00B20B34">
      <w:pPr>
        <w:pStyle w:val="NoSpacing"/>
        <w:rPr>
          <w:rFonts w:ascii="Times New Roman" w:hAnsi="Times New Roman"/>
        </w:rPr>
      </w:pPr>
    </w:p>
    <w:p w:rsidR="00E258CD" w:rsidRPr="007C3FF5" w:rsidRDefault="00E258CD" w:rsidP="00B20B34">
      <w:pPr>
        <w:pStyle w:val="NoSpacing"/>
        <w:rPr>
          <w:rFonts w:ascii="Times New Roman" w:hAnsi="Times New Roman"/>
        </w:rPr>
      </w:pPr>
    </w:p>
    <w:p w:rsidR="00E258CD" w:rsidRPr="007C3FF5" w:rsidRDefault="00E258CD" w:rsidP="00B20B34">
      <w:pPr>
        <w:pStyle w:val="NoSpacing"/>
        <w:rPr>
          <w:rFonts w:ascii="Times New Roman" w:hAnsi="Times New Roman"/>
          <w:b/>
          <w:bCs/>
          <w:kern w:val="32"/>
        </w:rPr>
      </w:pPr>
    </w:p>
    <w:p w:rsidR="00215FEA" w:rsidRPr="007C3FF5" w:rsidRDefault="00215FEA" w:rsidP="00B20B34">
      <w:pPr>
        <w:pStyle w:val="NoSpacing"/>
        <w:rPr>
          <w:rFonts w:ascii="Times New Roman" w:hAnsi="Times New Roman"/>
          <w:b/>
          <w:bCs/>
          <w:kern w:val="32"/>
        </w:rPr>
      </w:pPr>
    </w:p>
    <w:p w:rsidR="00215FEA" w:rsidRPr="007C3FF5" w:rsidRDefault="00215FEA" w:rsidP="00B20B34">
      <w:pPr>
        <w:pStyle w:val="NoSpacing"/>
        <w:rPr>
          <w:rFonts w:ascii="Times New Roman" w:hAnsi="Times New Roman"/>
          <w:b/>
          <w:bCs/>
          <w:kern w:val="32"/>
        </w:rPr>
      </w:pPr>
    </w:p>
    <w:p w:rsidR="00215FEA" w:rsidRPr="007C3FF5" w:rsidRDefault="00215FEA" w:rsidP="00B20B34">
      <w:pPr>
        <w:pStyle w:val="NoSpacing"/>
        <w:rPr>
          <w:rFonts w:ascii="Times New Roman" w:hAnsi="Times New Roman"/>
          <w:b/>
          <w:bCs/>
          <w:kern w:val="32"/>
        </w:rPr>
      </w:pPr>
    </w:p>
    <w:p w:rsidR="00215FEA" w:rsidRPr="007C3FF5" w:rsidRDefault="00215FEA" w:rsidP="00B20B34">
      <w:pPr>
        <w:pStyle w:val="NoSpacing"/>
        <w:rPr>
          <w:rFonts w:ascii="Times New Roman" w:hAnsi="Times New Roman"/>
          <w:b/>
          <w:bCs/>
          <w:kern w:val="32"/>
        </w:rPr>
      </w:pPr>
    </w:p>
    <w:p w:rsidR="00215FEA" w:rsidRPr="007C3FF5" w:rsidRDefault="00215FEA" w:rsidP="00B20B34">
      <w:pPr>
        <w:pStyle w:val="NoSpacing"/>
        <w:rPr>
          <w:rFonts w:ascii="Times New Roman" w:hAnsi="Times New Roman"/>
          <w:b/>
          <w:bCs/>
          <w:kern w:val="32"/>
        </w:rPr>
      </w:pPr>
    </w:p>
    <w:p w:rsidR="00656B36" w:rsidRPr="007C3FF5" w:rsidRDefault="00701300" w:rsidP="001631FE">
      <w:pPr>
        <w:rPr>
          <w:rFonts w:ascii="Times New Roman" w:hAnsi="Times New Roman"/>
          <w:b/>
          <w:bCs/>
          <w:kern w:val="32"/>
        </w:rPr>
      </w:pPr>
      <w:r w:rsidRPr="007C3FF5">
        <w:rPr>
          <w:rFonts w:ascii="Times New Roman" w:hAnsi="Times New Roman"/>
          <w:b/>
          <w:bCs/>
          <w:kern w:val="32"/>
        </w:rPr>
        <w:t>26</w:t>
      </w:r>
      <w:r w:rsidRPr="007C3FF5">
        <w:rPr>
          <w:rFonts w:ascii="Times New Roman" w:hAnsi="Times New Roman"/>
          <w:b/>
          <w:bCs/>
          <w:kern w:val="32"/>
          <w:vertAlign w:val="superscript"/>
        </w:rPr>
        <w:t>th</w:t>
      </w:r>
      <w:r w:rsidRPr="007C3FF5">
        <w:rPr>
          <w:rFonts w:ascii="Times New Roman" w:hAnsi="Times New Roman"/>
          <w:b/>
          <w:bCs/>
          <w:kern w:val="32"/>
        </w:rPr>
        <w:t xml:space="preserve"> </w:t>
      </w:r>
      <w:r w:rsidR="00F22F78" w:rsidRPr="007C3FF5">
        <w:rPr>
          <w:rFonts w:ascii="Times New Roman" w:hAnsi="Times New Roman"/>
          <w:b/>
          <w:bCs/>
          <w:kern w:val="32"/>
        </w:rPr>
        <w:t>March 2014</w:t>
      </w:r>
    </w:p>
    <w:p w:rsidR="00656B36" w:rsidRPr="007C3FF5" w:rsidRDefault="00BD0575" w:rsidP="001631FE">
      <w:pPr>
        <w:rPr>
          <w:rFonts w:ascii="Times New Roman" w:hAnsi="Times New Roman"/>
          <w:b/>
        </w:rPr>
      </w:pPr>
      <w:r w:rsidRPr="007C3FF5">
        <w:rPr>
          <w:rFonts w:ascii="Times New Roman" w:hAnsi="Times New Roman"/>
          <w:b/>
        </w:rPr>
        <w:t>Jim O’Donoghue</w:t>
      </w:r>
    </w:p>
    <w:p w:rsidR="00656B36" w:rsidRPr="007C3FF5" w:rsidRDefault="00656B36" w:rsidP="001631FE">
      <w:pPr>
        <w:rPr>
          <w:rFonts w:ascii="Times New Roman" w:hAnsi="Times New Roman"/>
          <w:b/>
        </w:rPr>
      </w:pPr>
      <w:r w:rsidRPr="007C3FF5">
        <w:rPr>
          <w:rFonts w:ascii="Times New Roman" w:hAnsi="Times New Roman"/>
          <w:b/>
        </w:rPr>
        <w:t xml:space="preserve">Methodology </w:t>
      </w:r>
      <w:r w:rsidR="002D0C89" w:rsidRPr="007C3FF5">
        <w:rPr>
          <w:rFonts w:ascii="Times New Roman" w:hAnsi="Times New Roman"/>
          <w:b/>
        </w:rPr>
        <w:t>Advisory</w:t>
      </w:r>
      <w:r w:rsidR="00F22F78" w:rsidRPr="007C3FF5">
        <w:rPr>
          <w:rFonts w:ascii="Times New Roman" w:hAnsi="Times New Roman"/>
          <w:b/>
        </w:rPr>
        <w:t xml:space="preserve"> Service</w:t>
      </w:r>
    </w:p>
    <w:p w:rsidR="00656B36" w:rsidRPr="007C3FF5" w:rsidRDefault="00656B36" w:rsidP="001631FE">
      <w:pPr>
        <w:rPr>
          <w:rFonts w:ascii="Times New Roman" w:hAnsi="Times New Roman"/>
          <w:b/>
        </w:rPr>
      </w:pPr>
      <w:r w:rsidRPr="007C3FF5">
        <w:rPr>
          <w:rFonts w:ascii="Times New Roman" w:hAnsi="Times New Roman"/>
          <w:b/>
        </w:rPr>
        <w:t>Office for National Statistics</w:t>
      </w:r>
    </w:p>
    <w:p w:rsidR="0046381A" w:rsidRPr="007C3FF5" w:rsidRDefault="0046381A" w:rsidP="001631FE">
      <w:pPr>
        <w:rPr>
          <w:rFonts w:ascii="Times New Roman" w:hAnsi="Times New Roman"/>
          <w:b/>
        </w:rPr>
      </w:pPr>
    </w:p>
    <w:p w:rsidR="0046381A" w:rsidRPr="007C3FF5" w:rsidRDefault="0046381A" w:rsidP="001631FE">
      <w:pPr>
        <w:rPr>
          <w:rFonts w:ascii="Times New Roman" w:hAnsi="Times New Roman"/>
          <w:b/>
        </w:rPr>
        <w:sectPr w:rsidR="0046381A" w:rsidRPr="007C3FF5" w:rsidSect="0046381A">
          <w:headerReference w:type="even" r:id="rId9"/>
          <w:headerReference w:type="default" r:id="rId10"/>
          <w:footerReference w:type="even" r:id="rId11"/>
          <w:footerReference w:type="default" r:id="rId12"/>
          <w:headerReference w:type="first" r:id="rId13"/>
          <w:footerReference w:type="first" r:id="rId14"/>
          <w:pgSz w:w="11906" w:h="16838"/>
          <w:pgMar w:top="1958" w:right="1983" w:bottom="1440" w:left="1843" w:header="709" w:footer="709" w:gutter="0"/>
          <w:cols w:space="708"/>
          <w:titlePg/>
          <w:docGrid w:linePitch="360"/>
        </w:sectPr>
      </w:pPr>
    </w:p>
    <w:p w:rsidR="0046381A" w:rsidRPr="007C3FF5" w:rsidRDefault="0046381A" w:rsidP="00B213FF">
      <w:pPr>
        <w:pStyle w:val="NoSpacing"/>
        <w:spacing w:line="276" w:lineRule="auto"/>
        <w:jc w:val="both"/>
        <w:rPr>
          <w:rFonts w:ascii="Times New Roman" w:hAnsi="Times New Roman" w:cs="Times New Roman"/>
          <w:b/>
          <w:color w:val="1F497D" w:themeColor="text2"/>
          <w:sz w:val="32"/>
          <w:szCs w:val="32"/>
        </w:rPr>
      </w:pPr>
      <w:bookmarkStart w:id="3" w:name="_Toc382994597"/>
      <w:bookmarkStart w:id="4" w:name="_Toc383010333"/>
      <w:bookmarkStart w:id="5" w:name="_Toc383010476"/>
      <w:r w:rsidRPr="007C3FF5">
        <w:rPr>
          <w:rFonts w:ascii="Times New Roman" w:hAnsi="Times New Roman" w:cs="Times New Roman"/>
          <w:b/>
          <w:color w:val="1F497D" w:themeColor="text2"/>
          <w:sz w:val="32"/>
          <w:szCs w:val="32"/>
        </w:rPr>
        <w:t>Foreword</w:t>
      </w:r>
      <w:bookmarkEnd w:id="3"/>
      <w:bookmarkEnd w:id="4"/>
      <w:bookmarkEnd w:id="5"/>
    </w:p>
    <w:p w:rsidR="0046381A" w:rsidRPr="007C3FF5" w:rsidRDefault="0046381A" w:rsidP="0046381A">
      <w:pPr>
        <w:pStyle w:val="NoSpacing"/>
        <w:spacing w:line="276" w:lineRule="auto"/>
        <w:jc w:val="both"/>
        <w:rPr>
          <w:rFonts w:ascii="Times New Roman" w:hAnsi="Times New Roman" w:cs="Times New Roman"/>
        </w:rPr>
      </w:pPr>
    </w:p>
    <w:p w:rsidR="0046381A" w:rsidRPr="007C3FF5" w:rsidRDefault="0046381A" w:rsidP="0046381A">
      <w:pPr>
        <w:pStyle w:val="NoSpacing"/>
        <w:spacing w:line="276" w:lineRule="auto"/>
        <w:jc w:val="both"/>
        <w:rPr>
          <w:rFonts w:ascii="Times New Roman" w:hAnsi="Times New Roman" w:cs="Times New Roman"/>
        </w:rPr>
      </w:pPr>
      <w:r w:rsidRPr="007C3FF5">
        <w:rPr>
          <w:rFonts w:ascii="Times New Roman" w:hAnsi="Times New Roman" w:cs="Times New Roman"/>
        </w:rPr>
        <w:t xml:space="preserve">This paper is to provide users of Economic and </w:t>
      </w:r>
      <w:r w:rsidRPr="007C3FF5">
        <w:rPr>
          <w:rFonts w:ascii="Times New Roman" w:hAnsi="Times New Roman" w:cs="Times New Roman"/>
          <w:lang w:val="en-GB"/>
        </w:rPr>
        <w:t>Labour</w:t>
      </w:r>
      <w:r w:rsidRPr="007C3FF5">
        <w:rPr>
          <w:rFonts w:ascii="Times New Roman" w:hAnsi="Times New Roman" w:cs="Times New Roman"/>
        </w:rPr>
        <w:t xml:space="preserve"> Market Statistics </w:t>
      </w:r>
      <w:r w:rsidR="00232F2F" w:rsidRPr="007C3FF5">
        <w:rPr>
          <w:rFonts w:ascii="Times New Roman" w:hAnsi="Times New Roman" w:cs="Times New Roman"/>
        </w:rPr>
        <w:t xml:space="preserve">with an update on progress made by NISRA regarding the development of a set of </w:t>
      </w:r>
      <w:r w:rsidR="005C43FE">
        <w:rPr>
          <w:rFonts w:ascii="Times New Roman" w:hAnsi="Times New Roman" w:cs="Times New Roman"/>
        </w:rPr>
        <w:t>Supply-Use Tables</w:t>
      </w:r>
      <w:r w:rsidR="00232F2F" w:rsidRPr="007C3FF5">
        <w:rPr>
          <w:rFonts w:ascii="Times New Roman" w:hAnsi="Times New Roman" w:cs="Times New Roman"/>
        </w:rPr>
        <w:t xml:space="preserve"> </w:t>
      </w:r>
      <w:r w:rsidR="00E82B17">
        <w:rPr>
          <w:rFonts w:ascii="Times New Roman" w:hAnsi="Times New Roman" w:cs="Times New Roman"/>
        </w:rPr>
        <w:t>(</w:t>
      </w:r>
      <w:r w:rsidR="005C43FE" w:rsidRPr="007C3FF5">
        <w:rPr>
          <w:rFonts w:ascii="Times New Roman" w:hAnsi="Times New Roman" w:cs="Times New Roman"/>
        </w:rPr>
        <w:t>SUTs)</w:t>
      </w:r>
      <w:r w:rsidR="005C43FE">
        <w:rPr>
          <w:rFonts w:ascii="Times New Roman" w:hAnsi="Times New Roman" w:cs="Times New Roman"/>
        </w:rPr>
        <w:t xml:space="preserve"> </w:t>
      </w:r>
      <w:r w:rsidR="00232F2F" w:rsidRPr="007C3FF5">
        <w:rPr>
          <w:rFonts w:ascii="Times New Roman" w:hAnsi="Times New Roman" w:cs="Times New Roman"/>
        </w:rPr>
        <w:t xml:space="preserve">for Northern Ireland. Since 2012 NISRA have been working with the Office for National Statistics to undertake a Scoping Study to examine available data sources and develop a pilot set of </w:t>
      </w:r>
      <w:bookmarkStart w:id="6" w:name="OLE_LINK5"/>
      <w:bookmarkStart w:id="7" w:name="OLE_LINK6"/>
      <w:r w:rsidR="00232F2F" w:rsidRPr="007C3FF5">
        <w:rPr>
          <w:rFonts w:ascii="Times New Roman" w:hAnsi="Times New Roman" w:cs="Times New Roman"/>
        </w:rPr>
        <w:t xml:space="preserve">Supply-Use Tables </w:t>
      </w:r>
      <w:bookmarkEnd w:id="6"/>
      <w:bookmarkEnd w:id="7"/>
      <w:r w:rsidR="00232F2F" w:rsidRPr="007C3FF5">
        <w:rPr>
          <w:rFonts w:ascii="Times New Roman" w:hAnsi="Times New Roman" w:cs="Times New Roman"/>
        </w:rPr>
        <w:t>for Northern Ireland based on available data.</w:t>
      </w:r>
    </w:p>
    <w:p w:rsidR="00232F2F" w:rsidRPr="007C3FF5" w:rsidRDefault="00232F2F" w:rsidP="0046381A">
      <w:pPr>
        <w:pStyle w:val="NoSpacing"/>
        <w:spacing w:line="276" w:lineRule="auto"/>
        <w:jc w:val="both"/>
        <w:rPr>
          <w:rFonts w:ascii="Times New Roman" w:hAnsi="Times New Roman" w:cs="Times New Roman"/>
        </w:rPr>
      </w:pPr>
    </w:p>
    <w:p w:rsidR="0046381A" w:rsidRPr="007C3FF5" w:rsidRDefault="00232F2F" w:rsidP="0046381A">
      <w:pPr>
        <w:pStyle w:val="NoSpacing"/>
        <w:spacing w:line="276" w:lineRule="auto"/>
        <w:jc w:val="both"/>
        <w:rPr>
          <w:rFonts w:ascii="Times New Roman" w:hAnsi="Times New Roman" w:cs="Times New Roman"/>
        </w:rPr>
      </w:pPr>
      <w:r w:rsidRPr="007C3FF5">
        <w:rPr>
          <w:rFonts w:ascii="Times New Roman" w:hAnsi="Times New Roman" w:cs="Times New Roman"/>
        </w:rPr>
        <w:t>During 2012/13 NISRA was awarded funding from the Quality Improvement Fund (QIF)</w:t>
      </w:r>
      <w:r w:rsidRPr="007C3FF5">
        <w:rPr>
          <w:rFonts w:ascii="Times New Roman" w:hAnsi="Times New Roman" w:cs="Times New Roman"/>
          <w:vertAlign w:val="superscript"/>
        </w:rPr>
        <w:footnoteReference w:id="1"/>
      </w:r>
      <w:r w:rsidRPr="007C3FF5">
        <w:rPr>
          <w:rFonts w:ascii="Times New Roman" w:hAnsi="Times New Roman" w:cs="Times New Roman"/>
        </w:rPr>
        <w:t xml:space="preserve"> to facilitate the investigation into the development of a set of Economic Accounts (Supply-Use tables) for NI. Funding was used to pay for an ONS Consultant from their Methodology Advice Service to provide expertise to undertake a Scoping Study to develop a set of </w:t>
      </w:r>
      <w:r w:rsidR="005C43FE">
        <w:rPr>
          <w:rFonts w:ascii="Times New Roman" w:hAnsi="Times New Roman" w:cs="Times New Roman"/>
        </w:rPr>
        <w:t>SUTs</w:t>
      </w:r>
      <w:r w:rsidRPr="007C3FF5">
        <w:rPr>
          <w:rFonts w:ascii="Times New Roman" w:hAnsi="Times New Roman" w:cs="Times New Roman"/>
        </w:rPr>
        <w:t xml:space="preserve"> for NI.</w:t>
      </w:r>
    </w:p>
    <w:p w:rsidR="0046381A" w:rsidRPr="007C3FF5" w:rsidRDefault="0046381A" w:rsidP="0046381A">
      <w:pPr>
        <w:pStyle w:val="NoSpacing"/>
        <w:spacing w:line="276" w:lineRule="auto"/>
        <w:jc w:val="both"/>
        <w:rPr>
          <w:rFonts w:ascii="Times New Roman" w:hAnsi="Times New Roman" w:cs="Times New Roman"/>
        </w:rPr>
      </w:pPr>
    </w:p>
    <w:p w:rsidR="00232F2F" w:rsidRPr="007C3FF5" w:rsidRDefault="00232F2F" w:rsidP="00232F2F">
      <w:pPr>
        <w:pStyle w:val="NoSpacing"/>
        <w:spacing w:line="276" w:lineRule="auto"/>
        <w:jc w:val="both"/>
        <w:rPr>
          <w:rFonts w:ascii="Times New Roman" w:hAnsi="Times New Roman" w:cs="Times New Roman"/>
        </w:rPr>
      </w:pPr>
      <w:r w:rsidRPr="007C3FF5">
        <w:rPr>
          <w:rFonts w:ascii="Times New Roman" w:hAnsi="Times New Roman" w:cs="Times New Roman"/>
        </w:rPr>
        <w:t>In short, a preliminary set of Supply-Use Tables were produced alongside a Scoping Study report which contained a set of recommendations for the next steps to develop the project further. These include, inter alia, areas where additional analyses from existing data sources could lead to a better balance of data to facilitate the compilation of more robust Supply and Use tables for NI.</w:t>
      </w:r>
    </w:p>
    <w:p w:rsidR="00232F2F" w:rsidRPr="007C3FF5" w:rsidRDefault="00232F2F" w:rsidP="0046381A">
      <w:pPr>
        <w:pStyle w:val="NoSpacing"/>
        <w:spacing w:line="276" w:lineRule="auto"/>
        <w:jc w:val="both"/>
        <w:rPr>
          <w:rFonts w:ascii="Times New Roman" w:hAnsi="Times New Roman" w:cs="Times New Roman"/>
        </w:rPr>
      </w:pPr>
    </w:p>
    <w:p w:rsidR="00232F2F" w:rsidRPr="007C3FF5" w:rsidRDefault="00232F2F" w:rsidP="00232F2F">
      <w:pPr>
        <w:pStyle w:val="NoSpacing"/>
        <w:spacing w:line="276" w:lineRule="auto"/>
        <w:jc w:val="both"/>
        <w:rPr>
          <w:rFonts w:ascii="Times New Roman" w:hAnsi="Times New Roman" w:cs="Times New Roman"/>
        </w:rPr>
      </w:pPr>
      <w:r w:rsidRPr="007C3FF5">
        <w:rPr>
          <w:rFonts w:ascii="Times New Roman" w:hAnsi="Times New Roman" w:cs="Times New Roman"/>
        </w:rPr>
        <w:t xml:space="preserve">A subsequent successful QIF bid during 2013 provided NISRA with resources to continue to take the project forward with the QIF expert during 2013/14.  This second year of the project has involved taking the necessary steps to address the recommendations within the Scoping Study, on-going training of NISRA staff, the addition of other data sources, further quality assurance of the accounts developed by ONS and NISRA, preparing documentation and user consultation. </w:t>
      </w:r>
    </w:p>
    <w:p w:rsidR="00232F2F" w:rsidRPr="007C3FF5" w:rsidRDefault="00232F2F" w:rsidP="00232F2F">
      <w:pPr>
        <w:pStyle w:val="NoSpacing"/>
        <w:spacing w:line="276" w:lineRule="auto"/>
        <w:jc w:val="both"/>
        <w:rPr>
          <w:rFonts w:ascii="Times New Roman" w:hAnsi="Times New Roman" w:cs="Times New Roman"/>
        </w:rPr>
      </w:pPr>
    </w:p>
    <w:p w:rsidR="003333B3" w:rsidRPr="007C3FF5" w:rsidRDefault="00232F2F" w:rsidP="00232F2F">
      <w:pPr>
        <w:pStyle w:val="NoSpacing"/>
        <w:spacing w:line="276" w:lineRule="auto"/>
        <w:jc w:val="both"/>
        <w:rPr>
          <w:rFonts w:ascii="Times New Roman" w:hAnsi="Times New Roman" w:cs="Times New Roman"/>
        </w:rPr>
      </w:pPr>
      <w:r w:rsidRPr="007C3FF5">
        <w:rPr>
          <w:rFonts w:ascii="Times New Roman" w:hAnsi="Times New Roman" w:cs="Times New Roman"/>
        </w:rPr>
        <w:t xml:space="preserve">The following sections provide an overview of the project to date including highlighting areas of weakness and recommendations for the way forward. </w:t>
      </w:r>
    </w:p>
    <w:p w:rsidR="003333B3" w:rsidRPr="007C3FF5" w:rsidRDefault="003333B3" w:rsidP="00232F2F">
      <w:pPr>
        <w:pStyle w:val="NoSpacing"/>
        <w:spacing w:line="276" w:lineRule="auto"/>
        <w:jc w:val="both"/>
        <w:rPr>
          <w:rFonts w:ascii="Times New Roman" w:hAnsi="Times New Roman" w:cs="Times New Roman"/>
        </w:rPr>
      </w:pPr>
    </w:p>
    <w:p w:rsidR="00CE4639" w:rsidRPr="007C3FF5" w:rsidRDefault="00544C49" w:rsidP="00232F2F">
      <w:pPr>
        <w:pStyle w:val="NoSpacing"/>
        <w:spacing w:line="276" w:lineRule="auto"/>
        <w:jc w:val="both"/>
        <w:rPr>
          <w:rFonts w:ascii="Times New Roman" w:hAnsi="Times New Roman" w:cs="Times New Roman"/>
          <w:b/>
        </w:rPr>
      </w:pPr>
      <w:r w:rsidRPr="007C3FF5">
        <w:rPr>
          <w:rFonts w:ascii="Times New Roman" w:hAnsi="Times New Roman" w:cs="Times New Roman"/>
          <w:b/>
        </w:rPr>
        <w:t>This paper focuses on the methodology rather than presenting initial results</w:t>
      </w:r>
      <w:r w:rsidR="00232F2F" w:rsidRPr="007C3FF5">
        <w:rPr>
          <w:rFonts w:ascii="Times New Roman" w:hAnsi="Times New Roman" w:cs="Times New Roman"/>
          <w:b/>
        </w:rPr>
        <w:t xml:space="preserve">. </w:t>
      </w:r>
      <w:r w:rsidRPr="007C3FF5">
        <w:rPr>
          <w:rFonts w:ascii="Times New Roman" w:hAnsi="Times New Roman" w:cs="Times New Roman"/>
          <w:b/>
        </w:rPr>
        <w:t xml:space="preserve"> Important additional information will be available later in the year and will be integrated into the tables and reviewed. </w:t>
      </w:r>
      <w:r w:rsidR="00CE4639" w:rsidRPr="007C3FF5">
        <w:rPr>
          <w:rFonts w:ascii="Times New Roman" w:hAnsi="Times New Roman" w:cs="Times New Roman"/>
          <w:b/>
        </w:rPr>
        <w:t xml:space="preserve">The option to publish interim results will be considered at this time. </w:t>
      </w:r>
    </w:p>
    <w:p w:rsidR="00CE4639" w:rsidRPr="007C3FF5" w:rsidRDefault="00CE4639" w:rsidP="00232F2F">
      <w:pPr>
        <w:pStyle w:val="NoSpacing"/>
        <w:spacing w:line="276" w:lineRule="auto"/>
        <w:jc w:val="both"/>
        <w:rPr>
          <w:rFonts w:ascii="Times New Roman" w:hAnsi="Times New Roman" w:cs="Times New Roman"/>
          <w:b/>
        </w:rPr>
      </w:pPr>
    </w:p>
    <w:p w:rsidR="00232F2F" w:rsidRPr="007C3FF5" w:rsidRDefault="00232F2F" w:rsidP="0046381A">
      <w:pPr>
        <w:pStyle w:val="NoSpacing"/>
        <w:spacing w:line="276" w:lineRule="auto"/>
        <w:jc w:val="both"/>
        <w:rPr>
          <w:rFonts w:ascii="Times New Roman" w:hAnsi="Times New Roman" w:cs="Times New Roman"/>
        </w:rPr>
      </w:pPr>
    </w:p>
    <w:p w:rsidR="00232F2F" w:rsidRPr="007C3FF5" w:rsidRDefault="00232F2F" w:rsidP="0046381A">
      <w:pPr>
        <w:pStyle w:val="NoSpacing"/>
        <w:spacing w:line="276" w:lineRule="auto"/>
        <w:jc w:val="both"/>
        <w:rPr>
          <w:rFonts w:ascii="Times New Roman" w:hAnsi="Times New Roman" w:cs="Times New Roman"/>
        </w:rPr>
      </w:pPr>
    </w:p>
    <w:p w:rsidR="00827E3F" w:rsidRPr="007C3FF5" w:rsidRDefault="00827E3F" w:rsidP="0046381A">
      <w:pPr>
        <w:pStyle w:val="NoSpacing"/>
        <w:spacing w:line="276" w:lineRule="auto"/>
        <w:jc w:val="both"/>
        <w:rPr>
          <w:rFonts w:ascii="Times New Roman" w:hAnsi="Times New Roman" w:cs="Times New Roman"/>
        </w:rPr>
        <w:sectPr w:rsidR="00827E3F" w:rsidRPr="007C3FF5" w:rsidSect="0046381A">
          <w:pgSz w:w="11906" w:h="16838"/>
          <w:pgMar w:top="2100" w:right="1983" w:bottom="1440" w:left="1843" w:header="709" w:footer="709" w:gutter="0"/>
          <w:cols w:space="708"/>
          <w:titlePg/>
          <w:docGrid w:linePitch="360"/>
        </w:sectPr>
      </w:pPr>
    </w:p>
    <w:sdt>
      <w:sdtPr>
        <w:rPr>
          <w:rFonts w:asciiTheme="minorHAnsi" w:eastAsiaTheme="minorHAnsi" w:hAnsiTheme="minorHAnsi" w:cstheme="minorBidi"/>
          <w:b w:val="0"/>
          <w:bCs w:val="0"/>
          <w:color w:val="auto"/>
          <w:sz w:val="22"/>
          <w:szCs w:val="22"/>
          <w:lang w:val="en-GB"/>
        </w:rPr>
        <w:id w:val="1986205"/>
        <w:docPartObj>
          <w:docPartGallery w:val="Table of Contents"/>
          <w:docPartUnique/>
        </w:docPartObj>
      </w:sdtPr>
      <w:sdtEndPr>
        <w:rPr>
          <w:rFonts w:eastAsiaTheme="minorEastAsia"/>
          <w:color w:val="1F497D" w:themeColor="text2"/>
          <w:lang w:val="en-US"/>
        </w:rPr>
      </w:sdtEndPr>
      <w:sdtContent>
        <w:p w:rsidR="00B213FF" w:rsidRPr="007C3FF5" w:rsidRDefault="00827E3F" w:rsidP="00827E3F">
          <w:pPr>
            <w:pStyle w:val="TOCHeading"/>
            <w:numPr>
              <w:ilvl w:val="0"/>
              <w:numId w:val="0"/>
            </w:numPr>
            <w:ind w:left="432" w:hanging="432"/>
            <w:rPr>
              <w:noProof/>
              <w:color w:val="1F497D" w:themeColor="text2"/>
            </w:rPr>
          </w:pPr>
          <w:r w:rsidRPr="007C3FF5">
            <w:t>Contents</w:t>
          </w:r>
          <w:r w:rsidR="00206435" w:rsidRPr="00206435">
            <w:rPr>
              <w:color w:val="1F497D" w:themeColor="text2"/>
            </w:rPr>
            <w:fldChar w:fldCharType="begin"/>
          </w:r>
          <w:r w:rsidRPr="007C3FF5">
            <w:rPr>
              <w:color w:val="1F497D" w:themeColor="text2"/>
            </w:rPr>
            <w:instrText xml:space="preserve"> TOC \o "1-3" \h \z \u </w:instrText>
          </w:r>
          <w:r w:rsidR="00206435" w:rsidRPr="00206435">
            <w:rPr>
              <w:color w:val="1F497D" w:themeColor="text2"/>
            </w:rPr>
            <w:fldChar w:fldCharType="separate"/>
          </w:r>
        </w:p>
        <w:p w:rsidR="00B213FF" w:rsidRPr="007C3FF5" w:rsidRDefault="00206435">
          <w:pPr>
            <w:pStyle w:val="TOC1"/>
            <w:tabs>
              <w:tab w:val="left" w:pos="480"/>
              <w:tab w:val="right" w:leader="dot" w:pos="8070"/>
            </w:tabs>
            <w:rPr>
              <w:rFonts w:ascii="Times New Roman" w:hAnsi="Times New Roman" w:cs="Times New Roman"/>
              <w:b w:val="0"/>
              <w:bCs w:val="0"/>
              <w:caps w:val="0"/>
              <w:noProof/>
              <w:color w:val="1F497D" w:themeColor="text2"/>
              <w:lang w:val="en-GB" w:eastAsia="en-GB" w:bidi="ar-SA"/>
            </w:rPr>
          </w:pPr>
          <w:hyperlink w:anchor="_Toc383010477" w:history="1">
            <w:r w:rsidR="00B213FF" w:rsidRPr="007C3FF5">
              <w:rPr>
                <w:rStyle w:val="Hyperlink"/>
                <w:rFonts w:ascii="Times New Roman" w:hAnsi="Times New Roman" w:cs="Times New Roman"/>
                <w:noProof/>
                <w:color w:val="1F497D" w:themeColor="text2"/>
              </w:rPr>
              <w:t>1</w:t>
            </w:r>
            <w:r w:rsidR="00B213FF" w:rsidRPr="007C3FF5">
              <w:rPr>
                <w:rFonts w:ascii="Times New Roman" w:hAnsi="Times New Roman" w:cs="Times New Roman"/>
                <w:b w:val="0"/>
                <w:bCs w:val="0"/>
                <w:caps w:val="0"/>
                <w:noProof/>
                <w:color w:val="1F497D" w:themeColor="text2"/>
                <w:lang w:val="en-GB" w:eastAsia="en-GB" w:bidi="ar-SA"/>
              </w:rPr>
              <w:tab/>
            </w:r>
            <w:r w:rsidR="00B213FF" w:rsidRPr="007C3FF5">
              <w:rPr>
                <w:rStyle w:val="Hyperlink"/>
                <w:rFonts w:ascii="Times New Roman" w:hAnsi="Times New Roman" w:cs="Times New Roman"/>
                <w:noProof/>
                <w:color w:val="1F497D" w:themeColor="text2"/>
              </w:rPr>
              <w:t>Introduction</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_Toc383010477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78" w:history="1">
            <w:r w:rsidR="00B213FF" w:rsidRPr="007C3FF5">
              <w:rPr>
                <w:rStyle w:val="Hyperlink"/>
                <w:rFonts w:ascii="Times New Roman" w:hAnsi="Times New Roman" w:cs="Times New Roman"/>
                <w:noProof/>
                <w:color w:val="1F497D" w:themeColor="text2"/>
              </w:rPr>
              <w:t>1.1</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Aims and objectives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_Toc383010478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79" w:history="1">
            <w:r w:rsidR="00B213FF" w:rsidRPr="007C3FF5">
              <w:rPr>
                <w:rStyle w:val="Hyperlink"/>
                <w:rFonts w:ascii="Times New Roman" w:hAnsi="Times New Roman" w:cs="Times New Roman"/>
                <w:noProof/>
                <w:color w:val="1F497D" w:themeColor="text2"/>
              </w:rPr>
              <w:t>1.2</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Previous work</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_Toc383010479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80" w:history="1">
            <w:r w:rsidR="00B213FF" w:rsidRPr="007C3FF5">
              <w:rPr>
                <w:rStyle w:val="Hyperlink"/>
                <w:rFonts w:ascii="Times New Roman" w:hAnsi="Times New Roman" w:cs="Times New Roman"/>
                <w:noProof/>
                <w:color w:val="1F497D" w:themeColor="text2"/>
              </w:rPr>
              <w:t>1.3</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UK, Scottish and Welsh Supply-Use Tables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_Toc383010480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81" w:history="1">
            <w:r w:rsidR="00B213FF" w:rsidRPr="007C3FF5">
              <w:rPr>
                <w:rStyle w:val="Hyperlink"/>
                <w:rFonts w:ascii="Times New Roman" w:hAnsi="Times New Roman" w:cs="Times New Roman"/>
                <w:noProof/>
                <w:color w:val="1F497D" w:themeColor="text2"/>
              </w:rPr>
              <w:t>1.4</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Structure of this report</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_Toc383010481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2</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1"/>
            <w:tabs>
              <w:tab w:val="left" w:pos="480"/>
              <w:tab w:val="right" w:leader="dot" w:pos="8070"/>
            </w:tabs>
            <w:rPr>
              <w:rFonts w:ascii="Times New Roman" w:hAnsi="Times New Roman" w:cs="Times New Roman"/>
              <w:b w:val="0"/>
              <w:bCs w:val="0"/>
              <w:caps w:val="0"/>
              <w:noProof/>
              <w:color w:val="1F497D" w:themeColor="text2"/>
              <w:lang w:val="en-GB" w:eastAsia="en-GB" w:bidi="ar-SA"/>
            </w:rPr>
          </w:pPr>
          <w:hyperlink w:anchor="_Toc383010482" w:history="1">
            <w:r w:rsidR="00B213FF" w:rsidRPr="007C3FF5">
              <w:rPr>
                <w:rStyle w:val="Hyperlink"/>
                <w:rFonts w:ascii="Times New Roman" w:hAnsi="Times New Roman" w:cs="Times New Roman"/>
                <w:noProof/>
                <w:color w:val="1F497D" w:themeColor="text2"/>
              </w:rPr>
              <w:t>2</w:t>
            </w:r>
            <w:r w:rsidR="00B213FF" w:rsidRPr="007C3FF5">
              <w:rPr>
                <w:rFonts w:ascii="Times New Roman" w:hAnsi="Times New Roman" w:cs="Times New Roman"/>
                <w:b w:val="0"/>
                <w:bCs w:val="0"/>
                <w:caps w:val="0"/>
                <w:noProof/>
                <w:color w:val="1F497D" w:themeColor="text2"/>
                <w:lang w:val="en-GB" w:eastAsia="en-GB" w:bidi="ar-SA"/>
              </w:rPr>
              <w:tab/>
            </w:r>
            <w:r w:rsidR="00B213FF" w:rsidRPr="007C3FF5">
              <w:rPr>
                <w:rStyle w:val="Hyperlink"/>
                <w:rFonts w:ascii="Times New Roman" w:hAnsi="Times New Roman" w:cs="Times New Roman"/>
                <w:noProof/>
                <w:color w:val="1F497D" w:themeColor="text2"/>
              </w:rPr>
              <w:t>An Overview of Supply and Use Tables (SUTs)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_Toc383010482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3</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83" w:history="1">
            <w:r w:rsidR="00B213FF" w:rsidRPr="007C3FF5">
              <w:rPr>
                <w:rStyle w:val="Hyperlink"/>
                <w:rFonts w:ascii="Times New Roman" w:hAnsi="Times New Roman" w:cs="Times New Roman"/>
                <w:noProof/>
                <w:color w:val="1F497D" w:themeColor="text2"/>
              </w:rPr>
              <w:t>2.1</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Introduction</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_Toc383010483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3</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84" w:history="1">
            <w:r w:rsidR="00B213FF" w:rsidRPr="007C3FF5">
              <w:rPr>
                <w:rStyle w:val="Hyperlink"/>
                <w:rFonts w:ascii="Times New Roman" w:hAnsi="Times New Roman" w:cs="Times New Roman"/>
                <w:noProof/>
                <w:color w:val="1F497D" w:themeColor="text2"/>
              </w:rPr>
              <w:t>2.2</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The Supply Table</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_Toc383010484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4</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85" w:history="1">
            <w:r w:rsidR="00B213FF" w:rsidRPr="007C3FF5">
              <w:rPr>
                <w:rStyle w:val="Hyperlink"/>
                <w:rFonts w:ascii="Times New Roman" w:hAnsi="Times New Roman" w:cs="Times New Roman"/>
                <w:noProof/>
                <w:color w:val="1F497D" w:themeColor="text2"/>
              </w:rPr>
              <w:t>2.3</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The Use Table</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_Toc383010485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5</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86" w:history="1">
            <w:r w:rsidR="00B213FF" w:rsidRPr="007C3FF5">
              <w:rPr>
                <w:rStyle w:val="Hyperlink"/>
                <w:rFonts w:ascii="Times New Roman" w:hAnsi="Times New Roman" w:cs="Times New Roman"/>
                <w:noProof/>
                <w:color w:val="1F497D" w:themeColor="text2"/>
              </w:rPr>
              <w:t>2.4</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Gross Domestic Product (GDP) and the Supply and Use Tables.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_Toc383010486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6</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487" w:history="1">
            <w:r w:rsidR="00B213FF" w:rsidRPr="007C3FF5">
              <w:rPr>
                <w:rStyle w:val="Hyperlink"/>
                <w:rFonts w:ascii="Times New Roman" w:hAnsi="Times New Roman" w:cs="Times New Roman"/>
                <w:noProof/>
                <w:color w:val="1F497D" w:themeColor="text2"/>
              </w:rPr>
              <w:t>2.4.1</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GDP measured using the Production approach</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_Toc383010487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6</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488" w:history="1">
            <w:r w:rsidR="00B213FF" w:rsidRPr="007C3FF5">
              <w:rPr>
                <w:rStyle w:val="Hyperlink"/>
                <w:rFonts w:ascii="Times New Roman" w:hAnsi="Times New Roman" w:cs="Times New Roman"/>
                <w:noProof/>
                <w:color w:val="1F497D" w:themeColor="text2"/>
              </w:rPr>
              <w:t>2.4.2</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GDP measured using the Income approach</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_Toc383010488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6</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489" w:history="1">
            <w:r w:rsidR="00B213FF" w:rsidRPr="007C3FF5">
              <w:rPr>
                <w:rStyle w:val="Hyperlink"/>
                <w:rFonts w:ascii="Times New Roman" w:hAnsi="Times New Roman" w:cs="Times New Roman"/>
                <w:noProof/>
                <w:color w:val="1F497D" w:themeColor="text2"/>
              </w:rPr>
              <w:t>2.4.3</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GDP measured using the Expenditure approach</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_Toc383010489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7</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1"/>
            <w:tabs>
              <w:tab w:val="left" w:pos="480"/>
              <w:tab w:val="right" w:leader="dot" w:pos="8070"/>
            </w:tabs>
            <w:rPr>
              <w:rFonts w:ascii="Times New Roman" w:hAnsi="Times New Roman" w:cs="Times New Roman"/>
              <w:b w:val="0"/>
              <w:bCs w:val="0"/>
              <w:caps w:val="0"/>
              <w:noProof/>
              <w:color w:val="1F497D" w:themeColor="text2"/>
              <w:lang w:val="en-GB" w:eastAsia="en-GB" w:bidi="ar-SA"/>
            </w:rPr>
          </w:pPr>
          <w:hyperlink w:anchor="_Toc383010490" w:history="1">
            <w:r w:rsidR="00B213FF" w:rsidRPr="007C3FF5">
              <w:rPr>
                <w:rStyle w:val="Hyperlink"/>
                <w:rFonts w:ascii="Times New Roman" w:hAnsi="Times New Roman" w:cs="Times New Roman"/>
                <w:noProof/>
                <w:color w:val="1F497D" w:themeColor="text2"/>
              </w:rPr>
              <w:t>3</w:t>
            </w:r>
            <w:r w:rsidR="00B213FF" w:rsidRPr="007C3FF5">
              <w:rPr>
                <w:rFonts w:ascii="Times New Roman" w:hAnsi="Times New Roman" w:cs="Times New Roman"/>
                <w:b w:val="0"/>
                <w:bCs w:val="0"/>
                <w:caps w:val="0"/>
                <w:noProof/>
                <w:color w:val="1F497D" w:themeColor="text2"/>
                <w:lang w:val="en-GB" w:eastAsia="en-GB" w:bidi="ar-SA"/>
              </w:rPr>
              <w:tab/>
            </w:r>
            <w:r w:rsidR="00B213FF" w:rsidRPr="007C3FF5">
              <w:rPr>
                <w:rStyle w:val="Hyperlink"/>
                <w:rFonts w:ascii="Times New Roman" w:hAnsi="Times New Roman" w:cs="Times New Roman"/>
                <w:noProof/>
                <w:color w:val="1F497D" w:themeColor="text2"/>
              </w:rPr>
              <w:t>Compilation process for the Supply and Use Tables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_Toc383010490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8</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91" w:history="1">
            <w:r w:rsidR="00B213FF" w:rsidRPr="007C3FF5">
              <w:rPr>
                <w:rStyle w:val="Hyperlink"/>
                <w:rFonts w:ascii="Times New Roman" w:hAnsi="Times New Roman" w:cs="Times New Roman"/>
                <w:noProof/>
                <w:color w:val="1F497D" w:themeColor="text2"/>
              </w:rPr>
              <w:t>3.1</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Introduction</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_Toc383010491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8</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92" w:history="1">
            <w:r w:rsidR="00B213FF" w:rsidRPr="007C3FF5">
              <w:rPr>
                <w:rStyle w:val="Hyperlink"/>
                <w:rFonts w:ascii="Times New Roman" w:hAnsi="Times New Roman" w:cs="Times New Roman"/>
                <w:noProof/>
                <w:color w:val="1F497D" w:themeColor="text2"/>
              </w:rPr>
              <w:t>3.2</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Main data sources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_Toc383010492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9</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93" w:history="1">
            <w:r w:rsidR="00B213FF" w:rsidRPr="007C3FF5">
              <w:rPr>
                <w:rStyle w:val="Hyperlink"/>
                <w:rFonts w:ascii="Times New Roman" w:hAnsi="Times New Roman" w:cs="Times New Roman"/>
                <w:noProof/>
                <w:color w:val="1F497D" w:themeColor="text2"/>
              </w:rPr>
              <w:t>3.3</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Construction of the initial Supply Table</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_Toc383010493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10</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94" w:history="1">
            <w:r w:rsidR="00B213FF" w:rsidRPr="007C3FF5">
              <w:rPr>
                <w:rStyle w:val="Hyperlink"/>
                <w:rFonts w:ascii="Times New Roman" w:hAnsi="Times New Roman" w:cs="Times New Roman"/>
                <w:noProof/>
                <w:color w:val="1F497D" w:themeColor="text2"/>
              </w:rPr>
              <w:t>3.4</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Intermediate demand</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_Toc383010494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12</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95" w:history="1">
            <w:r w:rsidR="00B213FF" w:rsidRPr="007C3FF5">
              <w:rPr>
                <w:rStyle w:val="Hyperlink"/>
                <w:rFonts w:ascii="Times New Roman" w:hAnsi="Times New Roman" w:cs="Times New Roman"/>
                <w:noProof/>
                <w:color w:val="1F497D" w:themeColor="text2"/>
              </w:rPr>
              <w:t>3.5</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Income components – primary inputs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_Toc383010495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12</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496" w:history="1">
            <w:r w:rsidR="00B213FF" w:rsidRPr="007C3FF5">
              <w:rPr>
                <w:rStyle w:val="Hyperlink"/>
                <w:rFonts w:ascii="Times New Roman" w:hAnsi="Times New Roman" w:cs="Times New Roman"/>
                <w:noProof/>
                <w:color w:val="1F497D" w:themeColor="text2"/>
              </w:rPr>
              <w:t>3.6</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Final Demand</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_Toc383010496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13</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497" w:history="1">
            <w:r w:rsidR="00B213FF" w:rsidRPr="007C3FF5">
              <w:rPr>
                <w:rStyle w:val="Hyperlink"/>
                <w:rFonts w:ascii="Times New Roman" w:hAnsi="Times New Roman" w:cs="Times New Roman"/>
                <w:noProof/>
                <w:color w:val="1F497D" w:themeColor="text2"/>
              </w:rPr>
              <w:t>3.6.1</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Household Final Consumption Expenditure (HHFCE)</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_Toc383010497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13</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498" w:history="1">
            <w:r w:rsidR="00B213FF" w:rsidRPr="007C3FF5">
              <w:rPr>
                <w:rStyle w:val="Hyperlink"/>
                <w:rFonts w:ascii="Times New Roman" w:hAnsi="Times New Roman" w:cs="Times New Roman"/>
                <w:noProof/>
                <w:color w:val="1F497D" w:themeColor="text2"/>
              </w:rPr>
              <w:t>3.6.2</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Government Final Consumption Expenditure</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_Toc383010498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14</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499" w:history="1">
            <w:r w:rsidR="00B213FF" w:rsidRPr="007C3FF5">
              <w:rPr>
                <w:rStyle w:val="Hyperlink"/>
                <w:rFonts w:ascii="Times New Roman" w:hAnsi="Times New Roman" w:cs="Times New Roman"/>
                <w:noProof/>
                <w:color w:val="1F497D" w:themeColor="text2"/>
              </w:rPr>
              <w:t>3.6.3</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Non-Profit Institutions Serving Households (NPISH) Final Consumption Expenditure</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_Toc383010499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14</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500" w:history="1">
            <w:r w:rsidR="00B213FF" w:rsidRPr="007C3FF5">
              <w:rPr>
                <w:rStyle w:val="Hyperlink"/>
                <w:rFonts w:ascii="Times New Roman" w:hAnsi="Times New Roman" w:cs="Times New Roman"/>
                <w:noProof/>
                <w:color w:val="1F497D" w:themeColor="text2"/>
              </w:rPr>
              <w:t>3.7</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Gross Capital Formation</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_Toc383010500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15</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501" w:history="1">
            <w:r w:rsidR="00B213FF" w:rsidRPr="007C3FF5">
              <w:rPr>
                <w:rStyle w:val="Hyperlink"/>
                <w:rFonts w:ascii="Times New Roman" w:hAnsi="Times New Roman" w:cs="Times New Roman"/>
                <w:noProof/>
                <w:color w:val="1F497D" w:themeColor="text2"/>
              </w:rPr>
              <w:t>3.7.1</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Gross Fixed Capital Formation (GFCF)</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_Toc383010501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15</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502" w:history="1">
            <w:r w:rsidR="00B213FF" w:rsidRPr="007C3FF5">
              <w:rPr>
                <w:rStyle w:val="Hyperlink"/>
                <w:rFonts w:ascii="Times New Roman" w:hAnsi="Times New Roman" w:cs="Times New Roman"/>
                <w:noProof/>
                <w:color w:val="1F497D" w:themeColor="text2"/>
              </w:rPr>
              <w:t>3.7.2</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Valuables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_Toc383010502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16</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960"/>
              <w:tab w:val="right" w:leader="dot" w:pos="8070"/>
            </w:tabs>
            <w:rPr>
              <w:rFonts w:ascii="Times New Roman" w:hAnsi="Times New Roman" w:cs="Times New Roman"/>
              <w:noProof/>
              <w:color w:val="1F497D" w:themeColor="text2"/>
              <w:sz w:val="22"/>
              <w:szCs w:val="22"/>
              <w:lang w:val="en-GB" w:eastAsia="en-GB" w:bidi="ar-SA"/>
            </w:rPr>
          </w:pPr>
          <w:hyperlink w:anchor="_Toc383010503" w:history="1">
            <w:r w:rsidR="00B213FF" w:rsidRPr="007C3FF5">
              <w:rPr>
                <w:rStyle w:val="Hyperlink"/>
                <w:rFonts w:ascii="Times New Roman" w:hAnsi="Times New Roman" w:cs="Times New Roman"/>
                <w:noProof/>
                <w:color w:val="1F497D" w:themeColor="text2"/>
              </w:rPr>
              <w:t>3.7.3</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Change in Inventories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_Toc383010503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16</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504" w:history="1">
            <w:r w:rsidR="00B213FF" w:rsidRPr="007C3FF5">
              <w:rPr>
                <w:rStyle w:val="Hyperlink"/>
                <w:rFonts w:ascii="Times New Roman" w:hAnsi="Times New Roman" w:cs="Times New Roman"/>
                <w:noProof/>
                <w:color w:val="1F497D" w:themeColor="text2"/>
              </w:rPr>
              <w:t>3.8</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Exports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_Toc383010504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16</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505" w:history="1">
            <w:r w:rsidR="00B213FF" w:rsidRPr="007C3FF5">
              <w:rPr>
                <w:rStyle w:val="Hyperlink"/>
                <w:rFonts w:ascii="Times New Roman" w:hAnsi="Times New Roman" w:cs="Times New Roman"/>
                <w:noProof/>
                <w:color w:val="1F497D" w:themeColor="text2"/>
              </w:rPr>
              <w:t>3.9</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Imports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_Toc383010505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17</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72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506" w:history="1">
            <w:r w:rsidR="00B213FF" w:rsidRPr="007C3FF5">
              <w:rPr>
                <w:rStyle w:val="Hyperlink"/>
                <w:rFonts w:ascii="Times New Roman" w:hAnsi="Times New Roman" w:cs="Times New Roman"/>
                <w:noProof/>
                <w:color w:val="1F497D" w:themeColor="text2"/>
              </w:rPr>
              <w:t>3.10</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Domestic Supply at basic prices to Supply at purchasers’ prices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_Toc383010506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17</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1200"/>
              <w:tab w:val="right" w:leader="dot" w:pos="8070"/>
            </w:tabs>
            <w:rPr>
              <w:rFonts w:ascii="Times New Roman" w:hAnsi="Times New Roman" w:cs="Times New Roman"/>
              <w:noProof/>
              <w:color w:val="1F497D" w:themeColor="text2"/>
              <w:sz w:val="22"/>
              <w:szCs w:val="22"/>
              <w:lang w:val="en-GB" w:eastAsia="en-GB" w:bidi="ar-SA"/>
            </w:rPr>
          </w:pPr>
          <w:hyperlink w:anchor="_Toc383010507" w:history="1">
            <w:r w:rsidR="00B213FF" w:rsidRPr="007C3FF5">
              <w:rPr>
                <w:rStyle w:val="Hyperlink"/>
                <w:rFonts w:ascii="Times New Roman" w:hAnsi="Times New Roman" w:cs="Times New Roman"/>
                <w:noProof/>
                <w:color w:val="1F497D" w:themeColor="text2"/>
              </w:rPr>
              <w:t>3.10.1</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Distributors’ trading margins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_Toc383010507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18</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1200"/>
              <w:tab w:val="right" w:leader="dot" w:pos="8070"/>
            </w:tabs>
            <w:rPr>
              <w:rFonts w:ascii="Times New Roman" w:hAnsi="Times New Roman" w:cs="Times New Roman"/>
              <w:noProof/>
              <w:color w:val="1F497D" w:themeColor="text2"/>
              <w:sz w:val="22"/>
              <w:szCs w:val="22"/>
              <w:lang w:val="en-GB" w:eastAsia="en-GB" w:bidi="ar-SA"/>
            </w:rPr>
          </w:pPr>
          <w:hyperlink w:anchor="_Toc383010508" w:history="1">
            <w:r w:rsidR="00B213FF" w:rsidRPr="007C3FF5">
              <w:rPr>
                <w:rStyle w:val="Hyperlink"/>
                <w:rFonts w:ascii="Times New Roman" w:hAnsi="Times New Roman" w:cs="Times New Roman"/>
                <w:noProof/>
                <w:color w:val="1F497D" w:themeColor="text2"/>
              </w:rPr>
              <w:t>3.10.2</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Taxes on products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_Toc383010508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18</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1200"/>
              <w:tab w:val="right" w:leader="dot" w:pos="8070"/>
            </w:tabs>
            <w:rPr>
              <w:rFonts w:ascii="Times New Roman" w:hAnsi="Times New Roman" w:cs="Times New Roman"/>
              <w:noProof/>
              <w:color w:val="1F497D" w:themeColor="text2"/>
              <w:sz w:val="22"/>
              <w:szCs w:val="22"/>
              <w:lang w:val="en-GB" w:eastAsia="en-GB" w:bidi="ar-SA"/>
            </w:rPr>
          </w:pPr>
          <w:hyperlink w:anchor="_Toc383010509" w:history="1">
            <w:r w:rsidR="00B213FF" w:rsidRPr="007C3FF5">
              <w:rPr>
                <w:rStyle w:val="Hyperlink"/>
                <w:rFonts w:ascii="Times New Roman" w:hAnsi="Times New Roman" w:cs="Times New Roman"/>
                <w:noProof/>
                <w:color w:val="1F497D" w:themeColor="text2"/>
              </w:rPr>
              <w:t>3.10.3</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Subsidies on products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_Toc383010509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19</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72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510" w:history="1">
            <w:r w:rsidR="00B213FF" w:rsidRPr="007C3FF5">
              <w:rPr>
                <w:rStyle w:val="Hyperlink"/>
                <w:rFonts w:ascii="Times New Roman" w:hAnsi="Times New Roman" w:cs="Times New Roman"/>
                <w:noProof/>
                <w:color w:val="1F497D" w:themeColor="text2"/>
              </w:rPr>
              <w:t>3.11</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Balancing the tables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_Toc383010510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20</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1200"/>
              <w:tab w:val="right" w:leader="dot" w:pos="8070"/>
            </w:tabs>
            <w:rPr>
              <w:rFonts w:ascii="Times New Roman" w:hAnsi="Times New Roman" w:cs="Times New Roman"/>
              <w:noProof/>
              <w:color w:val="1F497D" w:themeColor="text2"/>
              <w:sz w:val="22"/>
              <w:szCs w:val="22"/>
              <w:lang w:val="en-GB" w:eastAsia="en-GB" w:bidi="ar-SA"/>
            </w:rPr>
          </w:pPr>
          <w:hyperlink w:anchor="_Toc383010511" w:history="1">
            <w:r w:rsidR="00B213FF" w:rsidRPr="007C3FF5">
              <w:rPr>
                <w:rStyle w:val="Hyperlink"/>
                <w:rFonts w:ascii="Times New Roman" w:hAnsi="Times New Roman" w:cs="Times New Roman"/>
                <w:noProof/>
                <w:color w:val="1F497D" w:themeColor="text2"/>
              </w:rPr>
              <w:t>3.11.1</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General approach to balancing</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_Toc383010511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20</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3"/>
            <w:tabs>
              <w:tab w:val="left" w:pos="1200"/>
              <w:tab w:val="right" w:leader="dot" w:pos="8070"/>
            </w:tabs>
            <w:rPr>
              <w:rFonts w:ascii="Times New Roman" w:hAnsi="Times New Roman" w:cs="Times New Roman"/>
              <w:noProof/>
              <w:color w:val="1F497D" w:themeColor="text2"/>
              <w:sz w:val="22"/>
              <w:szCs w:val="22"/>
              <w:lang w:val="en-GB" w:eastAsia="en-GB" w:bidi="ar-SA"/>
            </w:rPr>
          </w:pPr>
          <w:hyperlink w:anchor="_Toc383010512" w:history="1">
            <w:r w:rsidR="00B213FF" w:rsidRPr="007C3FF5">
              <w:rPr>
                <w:rStyle w:val="Hyperlink"/>
                <w:rFonts w:ascii="Times New Roman" w:hAnsi="Times New Roman" w:cs="Times New Roman"/>
                <w:noProof/>
                <w:color w:val="1F497D" w:themeColor="text2"/>
              </w:rPr>
              <w:t>3.11.2</w:t>
            </w:r>
            <w:r w:rsidR="00B213FF" w:rsidRPr="007C3FF5">
              <w:rPr>
                <w:rFonts w:ascii="Times New Roman" w:hAnsi="Times New Roman" w:cs="Times New Roman"/>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Balancing the Northern Ireland SUT</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_Toc383010512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21</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1"/>
            <w:tabs>
              <w:tab w:val="left" w:pos="480"/>
              <w:tab w:val="right" w:leader="dot" w:pos="8070"/>
            </w:tabs>
            <w:rPr>
              <w:rFonts w:ascii="Times New Roman" w:hAnsi="Times New Roman" w:cs="Times New Roman"/>
              <w:b w:val="0"/>
              <w:bCs w:val="0"/>
              <w:caps w:val="0"/>
              <w:noProof/>
              <w:color w:val="1F497D" w:themeColor="text2"/>
              <w:lang w:val="en-GB" w:eastAsia="en-GB" w:bidi="ar-SA"/>
            </w:rPr>
          </w:pPr>
          <w:hyperlink w:anchor="_Toc383010513" w:history="1">
            <w:r w:rsidR="00B213FF" w:rsidRPr="007C3FF5">
              <w:rPr>
                <w:rStyle w:val="Hyperlink"/>
                <w:rFonts w:ascii="Times New Roman" w:hAnsi="Times New Roman" w:cs="Times New Roman"/>
                <w:noProof/>
                <w:color w:val="1F497D" w:themeColor="text2"/>
              </w:rPr>
              <w:t>4</w:t>
            </w:r>
            <w:r w:rsidR="00B213FF" w:rsidRPr="007C3FF5">
              <w:rPr>
                <w:rFonts w:ascii="Times New Roman" w:hAnsi="Times New Roman" w:cs="Times New Roman"/>
                <w:b w:val="0"/>
                <w:bCs w:val="0"/>
                <w:caps w:val="0"/>
                <w:noProof/>
                <w:color w:val="1F497D" w:themeColor="text2"/>
                <w:lang w:val="en-GB" w:eastAsia="en-GB" w:bidi="ar-SA"/>
              </w:rPr>
              <w:tab/>
            </w:r>
            <w:r w:rsidR="00B213FF" w:rsidRPr="007C3FF5">
              <w:rPr>
                <w:rStyle w:val="Hyperlink"/>
                <w:rFonts w:ascii="Times New Roman" w:hAnsi="Times New Roman" w:cs="Times New Roman"/>
                <w:noProof/>
                <w:color w:val="1F497D" w:themeColor="text2"/>
              </w:rPr>
              <w:t>Conclusions and next steps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_Toc383010513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22</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color w:val="1F497D" w:themeColor="text2"/>
              <w:sz w:val="22"/>
              <w:szCs w:val="22"/>
              <w:lang w:val="en-GB" w:eastAsia="en-GB" w:bidi="ar-SA"/>
            </w:rPr>
          </w:pPr>
          <w:hyperlink w:anchor="_Toc383010514" w:history="1">
            <w:r w:rsidR="00B213FF" w:rsidRPr="007C3FF5">
              <w:rPr>
                <w:rStyle w:val="Hyperlink"/>
                <w:rFonts w:ascii="Times New Roman" w:hAnsi="Times New Roman" w:cs="Times New Roman"/>
                <w:noProof/>
                <w:color w:val="1F497D" w:themeColor="text2"/>
              </w:rPr>
              <w:t>4.1</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Conclusions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_Toc383010514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22</w:t>
            </w:r>
            <w:r w:rsidRPr="007C3FF5">
              <w:rPr>
                <w:rFonts w:ascii="Times New Roman" w:hAnsi="Times New Roman" w:cs="Times New Roman"/>
                <w:noProof/>
                <w:webHidden/>
                <w:color w:val="1F497D" w:themeColor="text2"/>
              </w:rPr>
              <w:fldChar w:fldCharType="end"/>
            </w:r>
          </w:hyperlink>
        </w:p>
        <w:p w:rsidR="00B213FF" w:rsidRPr="007C3FF5" w:rsidRDefault="00206435">
          <w:pPr>
            <w:pStyle w:val="TOC2"/>
            <w:tabs>
              <w:tab w:val="left" w:pos="480"/>
              <w:tab w:val="right" w:leader="dot" w:pos="8070"/>
            </w:tabs>
            <w:rPr>
              <w:rFonts w:ascii="Times New Roman" w:hAnsi="Times New Roman" w:cs="Times New Roman"/>
              <w:b w:val="0"/>
              <w:bCs w:val="0"/>
              <w:noProof/>
              <w:sz w:val="22"/>
              <w:szCs w:val="22"/>
              <w:lang w:val="en-GB" w:eastAsia="en-GB" w:bidi="ar-SA"/>
            </w:rPr>
          </w:pPr>
          <w:hyperlink w:anchor="_Toc383010515" w:history="1">
            <w:r w:rsidR="00B213FF" w:rsidRPr="007C3FF5">
              <w:rPr>
                <w:rStyle w:val="Hyperlink"/>
                <w:rFonts w:ascii="Times New Roman" w:hAnsi="Times New Roman" w:cs="Times New Roman"/>
                <w:noProof/>
                <w:color w:val="1F497D" w:themeColor="text2"/>
              </w:rPr>
              <w:t>4.2</w:t>
            </w:r>
            <w:r w:rsidR="00B213FF" w:rsidRPr="007C3FF5">
              <w:rPr>
                <w:rFonts w:ascii="Times New Roman" w:hAnsi="Times New Roman" w:cs="Times New Roman"/>
                <w:b w:val="0"/>
                <w:bCs w:val="0"/>
                <w:noProof/>
                <w:color w:val="1F497D" w:themeColor="text2"/>
                <w:sz w:val="22"/>
                <w:szCs w:val="22"/>
                <w:lang w:val="en-GB" w:eastAsia="en-GB" w:bidi="ar-SA"/>
              </w:rPr>
              <w:tab/>
            </w:r>
            <w:r w:rsidR="00B213FF" w:rsidRPr="007C3FF5">
              <w:rPr>
                <w:rStyle w:val="Hyperlink"/>
                <w:rFonts w:ascii="Times New Roman" w:hAnsi="Times New Roman" w:cs="Times New Roman"/>
                <w:noProof/>
                <w:color w:val="1F497D" w:themeColor="text2"/>
              </w:rPr>
              <w:t>Next Steps</w:t>
            </w:r>
            <w:r w:rsidR="00B213FF" w:rsidRPr="007C3FF5">
              <w:rPr>
                <w:rFonts w:ascii="Times New Roman" w:hAnsi="Times New Roman" w:cs="Times New Roman"/>
                <w:noProof/>
                <w:webHidden/>
                <w:color w:val="1F497D" w:themeColor="text2"/>
              </w:rPr>
              <w:tab/>
            </w:r>
            <w:r w:rsidRPr="007C3FF5">
              <w:rPr>
                <w:rFonts w:ascii="Times New Roman" w:hAnsi="Times New Roman" w:cs="Times New Roman"/>
                <w:noProof/>
                <w:webHidden/>
                <w:color w:val="1F497D" w:themeColor="text2"/>
              </w:rPr>
              <w:fldChar w:fldCharType="begin"/>
            </w:r>
            <w:r w:rsidR="00B213FF" w:rsidRPr="007C3FF5">
              <w:rPr>
                <w:rFonts w:ascii="Times New Roman" w:hAnsi="Times New Roman" w:cs="Times New Roman"/>
                <w:noProof/>
                <w:webHidden/>
                <w:color w:val="1F497D" w:themeColor="text2"/>
              </w:rPr>
              <w:instrText xml:space="preserve"> PAGEREF _Toc383010515 \h </w:instrText>
            </w:r>
            <w:r w:rsidRPr="007C3FF5">
              <w:rPr>
                <w:rFonts w:ascii="Times New Roman" w:hAnsi="Times New Roman" w:cs="Times New Roman"/>
                <w:noProof/>
                <w:webHidden/>
                <w:color w:val="1F497D" w:themeColor="text2"/>
              </w:rPr>
            </w:r>
            <w:r w:rsidRPr="007C3FF5">
              <w:rPr>
                <w:rFonts w:ascii="Times New Roman" w:hAnsi="Times New Roman" w:cs="Times New Roman"/>
                <w:noProof/>
                <w:webHidden/>
                <w:color w:val="1F497D" w:themeColor="text2"/>
              </w:rPr>
              <w:fldChar w:fldCharType="separate"/>
            </w:r>
            <w:r w:rsidR="000309A0">
              <w:rPr>
                <w:rFonts w:ascii="Times New Roman" w:hAnsi="Times New Roman" w:cs="Times New Roman"/>
                <w:noProof/>
                <w:webHidden/>
                <w:color w:val="1F497D" w:themeColor="text2"/>
              </w:rPr>
              <w:t>23</w:t>
            </w:r>
            <w:r w:rsidRPr="007C3FF5">
              <w:rPr>
                <w:rFonts w:ascii="Times New Roman" w:hAnsi="Times New Roman" w:cs="Times New Roman"/>
                <w:noProof/>
                <w:webHidden/>
                <w:color w:val="1F497D" w:themeColor="text2"/>
              </w:rPr>
              <w:fldChar w:fldCharType="end"/>
            </w:r>
          </w:hyperlink>
        </w:p>
        <w:p w:rsidR="00827E3F" w:rsidRPr="007C3FF5" w:rsidRDefault="00206435" w:rsidP="00827E3F">
          <w:pPr>
            <w:rPr>
              <w:color w:val="1F497D" w:themeColor="text2"/>
            </w:rPr>
          </w:pPr>
          <w:r w:rsidRPr="007C3FF5">
            <w:rPr>
              <w:rFonts w:ascii="Times New Roman" w:hAnsi="Times New Roman" w:cs="Times New Roman"/>
              <w:color w:val="1F497D" w:themeColor="text2"/>
            </w:rPr>
            <w:fldChar w:fldCharType="end"/>
          </w:r>
        </w:p>
      </w:sdtContent>
    </w:sdt>
    <w:p w:rsidR="00232F2F" w:rsidRPr="007C3FF5" w:rsidRDefault="00232F2F" w:rsidP="0046381A">
      <w:pPr>
        <w:pStyle w:val="NoSpacing"/>
        <w:spacing w:line="276" w:lineRule="auto"/>
        <w:jc w:val="both"/>
        <w:rPr>
          <w:rFonts w:ascii="Times New Roman" w:hAnsi="Times New Roman" w:cs="Times New Roman"/>
        </w:rPr>
      </w:pPr>
    </w:p>
    <w:p w:rsidR="00232F2F" w:rsidRPr="007C3FF5" w:rsidRDefault="00232F2F" w:rsidP="0046381A">
      <w:pPr>
        <w:pStyle w:val="NoSpacing"/>
        <w:spacing w:line="276" w:lineRule="auto"/>
        <w:jc w:val="both"/>
        <w:rPr>
          <w:rFonts w:ascii="Times New Roman" w:hAnsi="Times New Roman" w:cs="Times New Roman"/>
        </w:rPr>
      </w:pPr>
    </w:p>
    <w:p w:rsidR="0046381A" w:rsidRPr="007C3FF5" w:rsidRDefault="0046381A" w:rsidP="001631FE">
      <w:pPr>
        <w:rPr>
          <w:rFonts w:ascii="Times New Roman" w:hAnsi="Times New Roman"/>
        </w:rPr>
      </w:pPr>
    </w:p>
    <w:p w:rsidR="00656B36" w:rsidRPr="007C3FF5" w:rsidRDefault="00656B36" w:rsidP="001631FE">
      <w:pPr>
        <w:rPr>
          <w:rFonts w:ascii="Times New Roman" w:hAnsi="Times New Roman"/>
        </w:rPr>
        <w:sectPr w:rsidR="00656B36" w:rsidRPr="007C3FF5" w:rsidSect="0046381A">
          <w:headerReference w:type="default" r:id="rId15"/>
          <w:footerReference w:type="default" r:id="rId16"/>
          <w:pgSz w:w="11906" w:h="16838"/>
          <w:pgMar w:top="2100" w:right="1983" w:bottom="1440" w:left="1843" w:header="709" w:footer="709" w:gutter="0"/>
          <w:cols w:space="708"/>
          <w:titlePg/>
          <w:docGrid w:linePitch="360"/>
        </w:sectPr>
      </w:pPr>
    </w:p>
    <w:p w:rsidR="00044A2F" w:rsidRPr="007C3FF5" w:rsidRDefault="00A244BC" w:rsidP="00B20B34">
      <w:pPr>
        <w:pStyle w:val="Heading1"/>
        <w:rPr>
          <w:lang w:bidi="ar-SA"/>
        </w:rPr>
      </w:pPr>
      <w:bookmarkStart w:id="8" w:name="_Toc235259179"/>
      <w:bookmarkStart w:id="9" w:name="_Toc235265031"/>
      <w:bookmarkStart w:id="10" w:name="_Toc235265288"/>
      <w:bookmarkStart w:id="11" w:name="_Toc383010477"/>
      <w:bookmarkEnd w:id="0"/>
      <w:bookmarkEnd w:id="1"/>
      <w:bookmarkEnd w:id="2"/>
      <w:r w:rsidRPr="007C3FF5">
        <w:rPr>
          <w:lang w:bidi="ar-SA"/>
        </w:rPr>
        <w:t>Introduction</w:t>
      </w:r>
      <w:bookmarkEnd w:id="8"/>
      <w:bookmarkEnd w:id="9"/>
      <w:bookmarkEnd w:id="10"/>
      <w:bookmarkEnd w:id="11"/>
    </w:p>
    <w:p w:rsidR="00E258CD" w:rsidRPr="007C3FF5" w:rsidRDefault="00E258CD" w:rsidP="001631FE">
      <w:pPr>
        <w:spacing w:after="240"/>
        <w:rPr>
          <w:rFonts w:ascii="Times New Roman" w:hAnsi="Times New Roman" w:cs="Times New Roman"/>
          <w:b/>
        </w:rPr>
      </w:pPr>
    </w:p>
    <w:p w:rsidR="00677130" w:rsidRPr="007C3FF5" w:rsidRDefault="00677130" w:rsidP="00B20B34">
      <w:pPr>
        <w:pStyle w:val="Heading2"/>
        <w:ind w:left="426"/>
        <w:rPr>
          <w:rFonts w:ascii="Times New Roman" w:hAnsi="Times New Roman" w:cs="Times New Roman"/>
          <w:lang w:bidi="ar-SA"/>
        </w:rPr>
      </w:pPr>
      <w:bookmarkStart w:id="12" w:name="_Toc383010478"/>
      <w:r w:rsidRPr="007C3FF5">
        <w:rPr>
          <w:rFonts w:ascii="Times New Roman" w:hAnsi="Times New Roman" w:cs="Times New Roman"/>
          <w:lang w:bidi="ar-SA"/>
        </w:rPr>
        <w:t>Aims and objectives</w:t>
      </w:r>
      <w:bookmarkEnd w:id="12"/>
    </w:p>
    <w:p w:rsidR="00E258CD" w:rsidRPr="007C3FF5" w:rsidRDefault="00E258CD" w:rsidP="001631FE">
      <w:pPr>
        <w:spacing w:after="240"/>
        <w:rPr>
          <w:rFonts w:ascii="Times New Roman" w:hAnsi="Times New Roman" w:cs="Times New Roman"/>
        </w:rPr>
      </w:pPr>
    </w:p>
    <w:p w:rsidR="004264C5" w:rsidRPr="007C3FF5" w:rsidRDefault="004264C5" w:rsidP="00B20B34">
      <w:pPr>
        <w:pStyle w:val="NoSpacing"/>
        <w:spacing w:line="276" w:lineRule="auto"/>
        <w:ind w:left="426"/>
        <w:jc w:val="both"/>
        <w:rPr>
          <w:rFonts w:ascii="Times New Roman" w:hAnsi="Times New Roman" w:cs="Times New Roman"/>
        </w:rPr>
      </w:pPr>
      <w:r w:rsidRPr="007C3FF5">
        <w:rPr>
          <w:rFonts w:ascii="Times New Roman" w:hAnsi="Times New Roman" w:cs="Times New Roman"/>
        </w:rPr>
        <w:t>NISRA’s main official statistics series provide a range of key measures of societal change and economic performance.  However, outputs tend to be reported by subject area with no facility to place such measures within an overarching model of the NI economy.  This limits commentators’ ability to interpret the significance or import of reported changes in any individual series</w:t>
      </w:r>
      <w:r w:rsidR="00677130" w:rsidRPr="007C3FF5">
        <w:rPr>
          <w:rFonts w:ascii="Times New Roman" w:hAnsi="Times New Roman" w:cs="Times New Roman"/>
        </w:rPr>
        <w:t>.  This project is intended to be the first step towards the development of a comprehensive set of economic accounts for Northern Ireland.  It has the following key objectives:</w:t>
      </w:r>
    </w:p>
    <w:p w:rsidR="00B20B34" w:rsidRPr="007C3FF5" w:rsidRDefault="00B20B34" w:rsidP="00B20B34">
      <w:pPr>
        <w:pStyle w:val="NoSpacing"/>
        <w:spacing w:line="276" w:lineRule="auto"/>
        <w:ind w:left="426"/>
        <w:jc w:val="both"/>
        <w:rPr>
          <w:rFonts w:ascii="Times New Roman" w:hAnsi="Times New Roman" w:cs="Times New Roman"/>
        </w:rPr>
      </w:pPr>
    </w:p>
    <w:p w:rsidR="00677130" w:rsidRPr="007C3FF5" w:rsidRDefault="00677130" w:rsidP="00225BB1">
      <w:pPr>
        <w:pStyle w:val="NoSpacing"/>
        <w:numPr>
          <w:ilvl w:val="0"/>
          <w:numId w:val="4"/>
        </w:numPr>
        <w:spacing w:line="276" w:lineRule="auto"/>
        <w:jc w:val="both"/>
        <w:rPr>
          <w:rFonts w:ascii="Times New Roman" w:hAnsi="Times New Roman" w:cs="Times New Roman"/>
        </w:rPr>
      </w:pPr>
      <w:r w:rsidRPr="007C3FF5">
        <w:rPr>
          <w:rFonts w:ascii="Times New Roman" w:hAnsi="Times New Roman" w:cs="Times New Roman"/>
        </w:rPr>
        <w:t>Scoping study to critically examine data sources</w:t>
      </w:r>
      <w:r w:rsidR="00B20B34" w:rsidRPr="007C3FF5">
        <w:rPr>
          <w:rFonts w:ascii="Times New Roman" w:hAnsi="Times New Roman" w:cs="Times New Roman"/>
        </w:rPr>
        <w:t>;</w:t>
      </w:r>
    </w:p>
    <w:p w:rsidR="00677130" w:rsidRPr="007C3FF5" w:rsidRDefault="00677130" w:rsidP="00225BB1">
      <w:pPr>
        <w:pStyle w:val="NoSpacing"/>
        <w:numPr>
          <w:ilvl w:val="0"/>
          <w:numId w:val="4"/>
        </w:numPr>
        <w:spacing w:line="276" w:lineRule="auto"/>
        <w:jc w:val="both"/>
        <w:rPr>
          <w:rFonts w:ascii="Times New Roman" w:hAnsi="Times New Roman" w:cs="Times New Roman"/>
        </w:rPr>
      </w:pPr>
      <w:r w:rsidRPr="007C3FF5">
        <w:rPr>
          <w:rFonts w:ascii="Times New Roman" w:hAnsi="Times New Roman" w:cs="Times New Roman"/>
        </w:rPr>
        <w:t>Development of pilot Supply-Use Tables for Northern Ireland</w:t>
      </w:r>
      <w:r w:rsidR="00B20B34" w:rsidRPr="007C3FF5">
        <w:rPr>
          <w:rFonts w:ascii="Times New Roman" w:hAnsi="Times New Roman" w:cs="Times New Roman"/>
        </w:rPr>
        <w:t>;</w:t>
      </w:r>
    </w:p>
    <w:p w:rsidR="00677130" w:rsidRPr="007C3FF5" w:rsidRDefault="00677130" w:rsidP="00225BB1">
      <w:pPr>
        <w:pStyle w:val="NoSpacing"/>
        <w:numPr>
          <w:ilvl w:val="0"/>
          <w:numId w:val="4"/>
        </w:numPr>
        <w:spacing w:line="276" w:lineRule="auto"/>
        <w:jc w:val="both"/>
        <w:rPr>
          <w:rFonts w:ascii="Times New Roman" w:hAnsi="Times New Roman" w:cs="Times New Roman"/>
        </w:rPr>
      </w:pPr>
      <w:r w:rsidRPr="007C3FF5">
        <w:rPr>
          <w:rFonts w:ascii="Times New Roman" w:hAnsi="Times New Roman" w:cs="Times New Roman"/>
        </w:rPr>
        <w:t>Recommendations for next steps</w:t>
      </w:r>
      <w:r w:rsidR="00B20B34" w:rsidRPr="007C3FF5">
        <w:rPr>
          <w:rFonts w:ascii="Times New Roman" w:hAnsi="Times New Roman" w:cs="Times New Roman"/>
        </w:rPr>
        <w:t>; and</w:t>
      </w:r>
    </w:p>
    <w:p w:rsidR="00677130" w:rsidRPr="007C3FF5" w:rsidRDefault="00677130" w:rsidP="00225BB1">
      <w:pPr>
        <w:pStyle w:val="NoSpacing"/>
        <w:numPr>
          <w:ilvl w:val="0"/>
          <w:numId w:val="4"/>
        </w:numPr>
        <w:spacing w:line="276" w:lineRule="auto"/>
        <w:jc w:val="both"/>
        <w:rPr>
          <w:rFonts w:ascii="Times New Roman" w:hAnsi="Times New Roman" w:cs="Times New Roman"/>
        </w:rPr>
      </w:pPr>
      <w:r w:rsidRPr="007C3FF5">
        <w:rPr>
          <w:rFonts w:ascii="Times New Roman" w:hAnsi="Times New Roman" w:cs="Times New Roman"/>
        </w:rPr>
        <w:t>Provision of relevant National Accounts training to</w:t>
      </w:r>
      <w:r w:rsidR="00990882" w:rsidRPr="007C3FF5">
        <w:rPr>
          <w:rFonts w:ascii="Times New Roman" w:hAnsi="Times New Roman" w:cs="Times New Roman"/>
        </w:rPr>
        <w:t xml:space="preserve"> an</w:t>
      </w:r>
      <w:r w:rsidRPr="007C3FF5">
        <w:rPr>
          <w:rFonts w:ascii="Times New Roman" w:hAnsi="Times New Roman" w:cs="Times New Roman"/>
        </w:rPr>
        <w:t xml:space="preserve"> in-house NISRA team.</w:t>
      </w:r>
    </w:p>
    <w:p w:rsidR="00E258CD" w:rsidRPr="007C3FF5" w:rsidRDefault="00E258CD" w:rsidP="00B20B34">
      <w:pPr>
        <w:pStyle w:val="NoSpacing"/>
        <w:jc w:val="both"/>
        <w:rPr>
          <w:rFonts w:ascii="Times New Roman" w:hAnsi="Times New Roman" w:cs="Times New Roman"/>
        </w:rPr>
      </w:pPr>
    </w:p>
    <w:p w:rsidR="00677130" w:rsidRPr="007C3FF5" w:rsidRDefault="00677130" w:rsidP="00827E3F">
      <w:pPr>
        <w:pStyle w:val="Heading2"/>
        <w:ind w:left="426"/>
        <w:rPr>
          <w:rFonts w:ascii="Times New Roman" w:hAnsi="Times New Roman" w:cs="Times New Roman"/>
          <w:lang w:bidi="ar-SA"/>
        </w:rPr>
      </w:pPr>
      <w:bookmarkStart w:id="13" w:name="_Toc383010479"/>
      <w:r w:rsidRPr="007C3FF5">
        <w:rPr>
          <w:rFonts w:ascii="Times New Roman" w:hAnsi="Times New Roman" w:cs="Times New Roman"/>
          <w:lang w:bidi="ar-SA"/>
        </w:rPr>
        <w:t>Previous work</w:t>
      </w:r>
      <w:bookmarkEnd w:id="13"/>
    </w:p>
    <w:p w:rsidR="00E258CD" w:rsidRPr="007C3FF5" w:rsidRDefault="00E258CD" w:rsidP="00B20B34">
      <w:pPr>
        <w:spacing w:after="240"/>
        <w:jc w:val="both"/>
        <w:rPr>
          <w:rFonts w:ascii="Times New Roman" w:hAnsi="Times New Roman" w:cs="Times New Roman"/>
        </w:rPr>
      </w:pPr>
    </w:p>
    <w:p w:rsidR="00677130" w:rsidRPr="007C3FF5" w:rsidRDefault="00677130"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An experimental set of Supply-Use Tables was compiled by external accountants in 2007 to establish the economic impact of tourism.  This exercise covered the whole of the NI economy, was consistent with UK regional accounts and made full use of</w:t>
      </w:r>
      <w:r w:rsidR="00990882" w:rsidRPr="007C3FF5">
        <w:rPr>
          <w:rFonts w:ascii="Times New Roman" w:hAnsi="Times New Roman" w:cs="Times New Roman"/>
        </w:rPr>
        <w:t xml:space="preserve"> the available</w:t>
      </w:r>
      <w:r w:rsidRPr="007C3FF5">
        <w:rPr>
          <w:rFonts w:ascii="Times New Roman" w:hAnsi="Times New Roman" w:cs="Times New Roman"/>
        </w:rPr>
        <w:t xml:space="preserve"> Northern Ireland business and social survey data sets, public expenditure information, administrative sources and UK national and regional data</w:t>
      </w:r>
      <w:r w:rsidR="00C56177" w:rsidRPr="007C3FF5">
        <w:rPr>
          <w:rFonts w:ascii="Times New Roman" w:hAnsi="Times New Roman" w:cs="Times New Roman"/>
        </w:rPr>
        <w:t>.  This enabled for the first time a comprehensive description of the role of the tourism sector in the NI economy and demonstrated the utility of the approach.  However, it has not been possible to validate fully or update these tables, outside of tourism, due to</w:t>
      </w:r>
      <w:r w:rsidR="00990882" w:rsidRPr="007C3FF5">
        <w:rPr>
          <w:rFonts w:ascii="Times New Roman" w:hAnsi="Times New Roman" w:cs="Times New Roman"/>
        </w:rPr>
        <w:t xml:space="preserve"> key data gaps and </w:t>
      </w:r>
      <w:r w:rsidR="00C56177" w:rsidRPr="007C3FF5">
        <w:rPr>
          <w:rFonts w:ascii="Times New Roman" w:hAnsi="Times New Roman" w:cs="Times New Roman"/>
        </w:rPr>
        <w:t>lack of</w:t>
      </w:r>
      <w:r w:rsidR="00990882" w:rsidRPr="007C3FF5">
        <w:rPr>
          <w:rFonts w:ascii="Times New Roman" w:hAnsi="Times New Roman" w:cs="Times New Roman"/>
        </w:rPr>
        <w:t xml:space="preserve"> a dedicated</w:t>
      </w:r>
      <w:r w:rsidR="00C56177" w:rsidRPr="007C3FF5">
        <w:rPr>
          <w:rFonts w:ascii="Times New Roman" w:hAnsi="Times New Roman" w:cs="Times New Roman"/>
        </w:rPr>
        <w:t xml:space="preserve"> in-house NISRA</w:t>
      </w:r>
      <w:r w:rsidR="00990882" w:rsidRPr="007C3FF5">
        <w:rPr>
          <w:rFonts w:ascii="Times New Roman" w:hAnsi="Times New Roman" w:cs="Times New Roman"/>
        </w:rPr>
        <w:t xml:space="preserve"> team with</w:t>
      </w:r>
      <w:r w:rsidR="00C56177" w:rsidRPr="007C3FF5">
        <w:rPr>
          <w:rFonts w:ascii="Times New Roman" w:hAnsi="Times New Roman" w:cs="Times New Roman"/>
        </w:rPr>
        <w:t xml:space="preserve"> expertise on national and social accounts methodology.</w:t>
      </w:r>
    </w:p>
    <w:p w:rsidR="00B518B5" w:rsidRPr="007C3FF5" w:rsidRDefault="00B518B5" w:rsidP="00B518B5">
      <w:pPr>
        <w:pStyle w:val="NoSpacing"/>
        <w:spacing w:line="276" w:lineRule="auto"/>
        <w:ind w:left="426"/>
        <w:jc w:val="both"/>
        <w:rPr>
          <w:rFonts w:ascii="Times New Roman" w:hAnsi="Times New Roman" w:cs="Times New Roman"/>
        </w:rPr>
      </w:pPr>
    </w:p>
    <w:p w:rsidR="00C56177" w:rsidRPr="007C3FF5" w:rsidRDefault="00C56177"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A set of agriculture account</w:t>
      </w:r>
      <w:r w:rsidR="00987EEF" w:rsidRPr="007C3FF5">
        <w:rPr>
          <w:rFonts w:ascii="Times New Roman" w:hAnsi="Times New Roman" w:cs="Times New Roman"/>
        </w:rPr>
        <w:t>s has also been prepared by</w:t>
      </w:r>
      <w:r w:rsidR="009A7AED" w:rsidRPr="007C3FF5">
        <w:rPr>
          <w:rFonts w:ascii="Times New Roman" w:hAnsi="Times New Roman" w:cs="Times New Roman"/>
        </w:rPr>
        <w:t xml:space="preserve"> </w:t>
      </w:r>
      <w:r w:rsidR="00987EEF" w:rsidRPr="007C3FF5">
        <w:rPr>
          <w:rFonts w:ascii="Times New Roman" w:hAnsi="Times New Roman" w:cs="Times New Roman"/>
        </w:rPr>
        <w:t xml:space="preserve">Wu and </w:t>
      </w:r>
      <w:proofErr w:type="spellStart"/>
      <w:r w:rsidR="00987EEF" w:rsidRPr="007C3FF5">
        <w:rPr>
          <w:rFonts w:ascii="Times New Roman" w:hAnsi="Times New Roman" w:cs="Times New Roman"/>
        </w:rPr>
        <w:t>Keatley</w:t>
      </w:r>
      <w:proofErr w:type="spellEnd"/>
      <w:r w:rsidR="00987EEF" w:rsidRPr="007C3FF5">
        <w:rPr>
          <w:rFonts w:ascii="Times New Roman" w:hAnsi="Times New Roman" w:cs="Times New Roman"/>
        </w:rPr>
        <w:t xml:space="preserve">, </w:t>
      </w:r>
      <w:proofErr w:type="spellStart"/>
      <w:r w:rsidR="00987EEF" w:rsidRPr="007C3FF5">
        <w:rPr>
          <w:rFonts w:ascii="Times New Roman" w:hAnsi="Times New Roman" w:cs="Times New Roman"/>
        </w:rPr>
        <w:t>Agri</w:t>
      </w:r>
      <w:proofErr w:type="spellEnd"/>
      <w:r w:rsidR="00987EEF" w:rsidRPr="007C3FF5">
        <w:rPr>
          <w:rFonts w:ascii="Times New Roman" w:hAnsi="Times New Roman" w:cs="Times New Roman"/>
        </w:rPr>
        <w:t xml:space="preserve">-Food </w:t>
      </w:r>
      <w:r w:rsidR="00513896" w:rsidRPr="007C3FF5">
        <w:rPr>
          <w:rFonts w:ascii="Times New Roman" w:hAnsi="Times New Roman" w:cs="Times New Roman"/>
        </w:rPr>
        <w:t xml:space="preserve">and </w:t>
      </w:r>
      <w:proofErr w:type="spellStart"/>
      <w:r w:rsidR="00FB4F85" w:rsidRPr="007C3FF5">
        <w:rPr>
          <w:rFonts w:ascii="Times New Roman" w:hAnsi="Times New Roman" w:cs="Times New Roman"/>
        </w:rPr>
        <w:t>BioSciences</w:t>
      </w:r>
      <w:proofErr w:type="spellEnd"/>
      <w:r w:rsidR="00FB4F85" w:rsidRPr="007C3FF5">
        <w:rPr>
          <w:rFonts w:ascii="Times New Roman" w:hAnsi="Times New Roman" w:cs="Times New Roman"/>
        </w:rPr>
        <w:t xml:space="preserve"> Institute</w:t>
      </w:r>
      <w:r w:rsidR="00987EEF" w:rsidRPr="007C3FF5">
        <w:rPr>
          <w:rFonts w:ascii="Times New Roman" w:hAnsi="Times New Roman" w:cs="Times New Roman"/>
        </w:rPr>
        <w:t xml:space="preserve"> and Queens University Belfast.  The aims of this work were to develop an Input-Output Model for the Northern Ireland economy; and to use the Input-Output Model to provide rigorous ex-ante and ex-post policy evaluation/analysis of CAP initiatives, particularly those of an </w:t>
      </w:r>
      <w:proofErr w:type="spellStart"/>
      <w:r w:rsidR="00987EEF" w:rsidRPr="007C3FF5">
        <w:rPr>
          <w:rFonts w:ascii="Times New Roman" w:hAnsi="Times New Roman" w:cs="Times New Roman"/>
        </w:rPr>
        <w:t>agri</w:t>
      </w:r>
      <w:proofErr w:type="spellEnd"/>
      <w:r w:rsidR="00987EEF" w:rsidRPr="007C3FF5">
        <w:rPr>
          <w:rFonts w:ascii="Times New Roman" w:hAnsi="Times New Roman" w:cs="Times New Roman"/>
        </w:rPr>
        <w:t>-environmental / rural development nature.  The reference year for this work was 2002, and the economy was sub-divided into 22 sectors: ten agriculture sectors; eight food processing sectors; two input sectors; one marketing sector; and the rest of the economy.</w:t>
      </w:r>
    </w:p>
    <w:p w:rsidR="00987EEF" w:rsidRPr="007C3FF5" w:rsidRDefault="00987EEF" w:rsidP="00B518B5">
      <w:pPr>
        <w:pStyle w:val="NoSpacing"/>
        <w:spacing w:line="276" w:lineRule="auto"/>
        <w:ind w:left="426"/>
        <w:jc w:val="both"/>
        <w:rPr>
          <w:rFonts w:ascii="Times New Roman" w:hAnsi="Times New Roman" w:cs="Times New Roman"/>
        </w:rPr>
      </w:pPr>
    </w:p>
    <w:p w:rsidR="00987EEF" w:rsidRPr="007C3FF5" w:rsidRDefault="00987EEF" w:rsidP="00B20B34">
      <w:pPr>
        <w:pStyle w:val="Heading2"/>
        <w:ind w:left="426"/>
        <w:rPr>
          <w:rFonts w:ascii="Times New Roman" w:hAnsi="Times New Roman" w:cs="Times New Roman"/>
          <w:lang w:bidi="ar-SA"/>
        </w:rPr>
      </w:pPr>
      <w:bookmarkStart w:id="14" w:name="_Toc383010480"/>
      <w:r w:rsidRPr="007C3FF5">
        <w:rPr>
          <w:rFonts w:ascii="Times New Roman" w:hAnsi="Times New Roman" w:cs="Times New Roman"/>
          <w:lang w:bidi="ar-SA"/>
        </w:rPr>
        <w:t>UK, Scottish and Welsh Supply-Use Tables</w:t>
      </w:r>
      <w:bookmarkEnd w:id="14"/>
    </w:p>
    <w:p w:rsidR="00987EEF" w:rsidRPr="007C3FF5" w:rsidRDefault="00987EEF" w:rsidP="001631FE">
      <w:pPr>
        <w:autoSpaceDE w:val="0"/>
        <w:autoSpaceDN w:val="0"/>
        <w:adjustRightInd w:val="0"/>
        <w:rPr>
          <w:rFonts w:ascii="Times New Roman" w:hAnsi="Times New Roman" w:cs="Times New Roman"/>
          <w:color w:val="000000" w:themeColor="text1"/>
          <w:lang w:eastAsia="en-GB" w:bidi="ar-SA"/>
        </w:rPr>
      </w:pPr>
    </w:p>
    <w:p w:rsidR="006F5F4C" w:rsidRPr="007C3FF5" w:rsidRDefault="00987EEF"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A full set of SUT</w:t>
      </w:r>
      <w:r w:rsidR="00B20B34" w:rsidRPr="007C3FF5">
        <w:rPr>
          <w:rFonts w:ascii="Times New Roman" w:hAnsi="Times New Roman" w:cs="Times New Roman"/>
        </w:rPr>
        <w:t>s</w:t>
      </w:r>
      <w:r w:rsidRPr="007C3FF5">
        <w:rPr>
          <w:rFonts w:ascii="Times New Roman" w:hAnsi="Times New Roman" w:cs="Times New Roman"/>
        </w:rPr>
        <w:t xml:space="preserve"> is published for the UK each year</w:t>
      </w:r>
      <w:r w:rsidR="006F5F4C" w:rsidRPr="007C3FF5">
        <w:rPr>
          <w:rFonts w:ascii="Times New Roman" w:hAnsi="Times New Roman" w:cs="Times New Roman"/>
        </w:rPr>
        <w:t xml:space="preserve"> by ONS in the Blue Book.  </w:t>
      </w:r>
      <w:r w:rsidR="00215FEA" w:rsidRPr="007C3FF5">
        <w:rPr>
          <w:rFonts w:ascii="Times New Roman" w:hAnsi="Times New Roman" w:cs="Times New Roman"/>
        </w:rPr>
        <w:t>S</w:t>
      </w:r>
      <w:r w:rsidR="006F5F4C" w:rsidRPr="007C3FF5">
        <w:rPr>
          <w:rFonts w:ascii="Times New Roman" w:hAnsi="Times New Roman" w:cs="Times New Roman"/>
        </w:rPr>
        <w:t>upply-</w:t>
      </w:r>
      <w:r w:rsidR="00B20B34" w:rsidRPr="007C3FF5">
        <w:rPr>
          <w:rFonts w:ascii="Times New Roman" w:hAnsi="Times New Roman" w:cs="Times New Roman"/>
        </w:rPr>
        <w:t xml:space="preserve">Use </w:t>
      </w:r>
      <w:r w:rsidR="006F5F4C" w:rsidRPr="007C3FF5">
        <w:rPr>
          <w:rFonts w:ascii="Times New Roman" w:hAnsi="Times New Roman" w:cs="Times New Roman"/>
        </w:rPr>
        <w:t>tables</w:t>
      </w:r>
      <w:r w:rsidR="00215FEA" w:rsidRPr="007C3FF5">
        <w:rPr>
          <w:rFonts w:ascii="Times New Roman" w:hAnsi="Times New Roman" w:cs="Times New Roman"/>
        </w:rPr>
        <w:t xml:space="preserve"> </w:t>
      </w:r>
      <w:r w:rsidR="009A331A" w:rsidRPr="007C3FF5">
        <w:rPr>
          <w:rFonts w:ascii="Times New Roman" w:hAnsi="Times New Roman" w:cs="Times New Roman"/>
        </w:rPr>
        <w:t xml:space="preserve">are also produced annually </w:t>
      </w:r>
      <w:r w:rsidR="00215FEA" w:rsidRPr="007C3FF5">
        <w:rPr>
          <w:rFonts w:ascii="Times New Roman" w:hAnsi="Times New Roman" w:cs="Times New Roman"/>
        </w:rPr>
        <w:t xml:space="preserve">by the Scottish Government, </w:t>
      </w:r>
      <w:r w:rsidR="009A331A" w:rsidRPr="007C3FF5">
        <w:rPr>
          <w:rFonts w:ascii="Times New Roman" w:hAnsi="Times New Roman" w:cs="Times New Roman"/>
        </w:rPr>
        <w:t>with the most recent release of data covering 1998 to 2009</w:t>
      </w:r>
      <w:r w:rsidR="006F5F4C" w:rsidRPr="007C3FF5">
        <w:rPr>
          <w:rFonts w:ascii="Times New Roman" w:hAnsi="Times New Roman" w:cs="Times New Roman"/>
        </w:rPr>
        <w:t xml:space="preserve">.  </w:t>
      </w:r>
      <w:r w:rsidR="009A331A" w:rsidRPr="007C3FF5">
        <w:rPr>
          <w:rFonts w:ascii="Times New Roman" w:hAnsi="Times New Roman" w:cs="Times New Roman"/>
        </w:rPr>
        <w:t>Supply-</w:t>
      </w:r>
      <w:r w:rsidR="00B20B34" w:rsidRPr="007C3FF5">
        <w:rPr>
          <w:rFonts w:ascii="Times New Roman" w:hAnsi="Times New Roman" w:cs="Times New Roman"/>
        </w:rPr>
        <w:t xml:space="preserve">Use </w:t>
      </w:r>
      <w:r w:rsidR="009A331A" w:rsidRPr="007C3FF5">
        <w:rPr>
          <w:rFonts w:ascii="Times New Roman" w:hAnsi="Times New Roman" w:cs="Times New Roman"/>
        </w:rPr>
        <w:t xml:space="preserve">tables have also been produced periodically for Wales by the Cardiff Business School, most recently for 2007. </w:t>
      </w:r>
      <w:r w:rsidR="006F5F4C" w:rsidRPr="007C3FF5">
        <w:rPr>
          <w:rFonts w:ascii="Times New Roman" w:hAnsi="Times New Roman" w:cs="Times New Roman"/>
        </w:rPr>
        <w:t xml:space="preserve">Many of the issues faced </w:t>
      </w:r>
      <w:r w:rsidR="009A331A" w:rsidRPr="007C3FF5">
        <w:rPr>
          <w:rFonts w:ascii="Times New Roman" w:hAnsi="Times New Roman" w:cs="Times New Roman"/>
        </w:rPr>
        <w:t xml:space="preserve">in compiling SUT for </w:t>
      </w:r>
      <w:r w:rsidR="006F5F4C" w:rsidRPr="007C3FF5">
        <w:rPr>
          <w:rFonts w:ascii="Times New Roman" w:hAnsi="Times New Roman" w:cs="Times New Roman"/>
        </w:rPr>
        <w:t>Wales</w:t>
      </w:r>
      <w:r w:rsidR="009A331A" w:rsidRPr="007C3FF5">
        <w:rPr>
          <w:rFonts w:ascii="Times New Roman" w:hAnsi="Times New Roman" w:cs="Times New Roman"/>
        </w:rPr>
        <w:t>,</w:t>
      </w:r>
      <w:r w:rsidR="006F5F4C" w:rsidRPr="007C3FF5">
        <w:rPr>
          <w:rFonts w:ascii="Times New Roman" w:hAnsi="Times New Roman" w:cs="Times New Roman"/>
        </w:rPr>
        <w:t xml:space="preserve"> and</w:t>
      </w:r>
      <w:r w:rsidR="009A331A" w:rsidRPr="007C3FF5">
        <w:rPr>
          <w:rFonts w:ascii="Times New Roman" w:hAnsi="Times New Roman" w:cs="Times New Roman"/>
        </w:rPr>
        <w:t>, to a lesser extent</w:t>
      </w:r>
      <w:r w:rsidR="006F5F4C" w:rsidRPr="007C3FF5">
        <w:rPr>
          <w:rFonts w:ascii="Times New Roman" w:hAnsi="Times New Roman" w:cs="Times New Roman"/>
        </w:rPr>
        <w:t xml:space="preserve"> Scotland</w:t>
      </w:r>
      <w:r w:rsidR="009A331A" w:rsidRPr="007C3FF5">
        <w:rPr>
          <w:rFonts w:ascii="Times New Roman" w:hAnsi="Times New Roman" w:cs="Times New Roman"/>
        </w:rPr>
        <w:t>,</w:t>
      </w:r>
      <w:r w:rsidR="006F5F4C" w:rsidRPr="007C3FF5">
        <w:rPr>
          <w:rFonts w:ascii="Times New Roman" w:hAnsi="Times New Roman" w:cs="Times New Roman"/>
        </w:rPr>
        <w:t xml:space="preserve"> are similar to those faced in compiling Northern </w:t>
      </w:r>
      <w:r w:rsidR="00B518B5" w:rsidRPr="007C3FF5">
        <w:rPr>
          <w:rFonts w:ascii="Times New Roman" w:hAnsi="Times New Roman" w:cs="Times New Roman"/>
        </w:rPr>
        <w:t>Ireland</w:t>
      </w:r>
      <w:r w:rsidR="006F5F4C" w:rsidRPr="007C3FF5">
        <w:rPr>
          <w:rFonts w:ascii="Times New Roman" w:hAnsi="Times New Roman" w:cs="Times New Roman"/>
        </w:rPr>
        <w:t xml:space="preserve"> SUTs.   </w:t>
      </w:r>
    </w:p>
    <w:p w:rsidR="00E97214" w:rsidRPr="007C3FF5" w:rsidRDefault="00E97214" w:rsidP="001631FE">
      <w:pPr>
        <w:autoSpaceDE w:val="0"/>
        <w:autoSpaceDN w:val="0"/>
        <w:adjustRightInd w:val="0"/>
        <w:rPr>
          <w:rFonts w:ascii="Times New Roman" w:hAnsi="Times New Roman"/>
          <w:color w:val="000000" w:themeColor="text1"/>
          <w:lang w:eastAsia="en-GB" w:bidi="ar-SA"/>
        </w:rPr>
      </w:pPr>
    </w:p>
    <w:p w:rsidR="00987EEF" w:rsidRPr="007C3FF5" w:rsidRDefault="006F5F4C" w:rsidP="00B20B34">
      <w:pPr>
        <w:pStyle w:val="Heading2"/>
        <w:ind w:left="426"/>
        <w:rPr>
          <w:rFonts w:ascii="Times New Roman" w:hAnsi="Times New Roman" w:cs="Times New Roman"/>
          <w:lang w:bidi="ar-SA"/>
        </w:rPr>
      </w:pPr>
      <w:bookmarkStart w:id="15" w:name="_Toc383010481"/>
      <w:r w:rsidRPr="007C3FF5">
        <w:rPr>
          <w:rFonts w:ascii="Times New Roman" w:hAnsi="Times New Roman" w:cs="Times New Roman"/>
          <w:lang w:bidi="ar-SA"/>
        </w:rPr>
        <w:t>Structure of this report</w:t>
      </w:r>
      <w:bookmarkEnd w:id="15"/>
      <w:r w:rsidRPr="007C3FF5">
        <w:rPr>
          <w:rFonts w:ascii="Times New Roman" w:hAnsi="Times New Roman" w:cs="Times New Roman"/>
          <w:lang w:bidi="ar-SA"/>
        </w:rPr>
        <w:t xml:space="preserve"> </w:t>
      </w:r>
    </w:p>
    <w:p w:rsidR="006F5F4C" w:rsidRPr="007C3FF5" w:rsidRDefault="006F5F4C" w:rsidP="001631FE">
      <w:pPr>
        <w:autoSpaceDE w:val="0"/>
        <w:autoSpaceDN w:val="0"/>
        <w:adjustRightInd w:val="0"/>
        <w:rPr>
          <w:rFonts w:ascii="Times New Roman" w:hAnsi="Times New Roman"/>
          <w:b/>
          <w:color w:val="000000" w:themeColor="text1"/>
          <w:lang w:eastAsia="en-GB" w:bidi="ar-SA"/>
        </w:rPr>
      </w:pPr>
    </w:p>
    <w:p w:rsidR="006F5F4C" w:rsidRPr="007C3FF5" w:rsidRDefault="006F5F4C" w:rsidP="00B20B34">
      <w:pPr>
        <w:autoSpaceDE w:val="0"/>
        <w:autoSpaceDN w:val="0"/>
        <w:adjustRightInd w:val="0"/>
        <w:ind w:left="426"/>
        <w:jc w:val="both"/>
        <w:rPr>
          <w:rFonts w:ascii="Times New Roman" w:hAnsi="Times New Roman"/>
          <w:color w:val="000000" w:themeColor="text1"/>
        </w:rPr>
      </w:pPr>
      <w:r w:rsidRPr="007C3FF5">
        <w:rPr>
          <w:rFonts w:ascii="Times New Roman" w:hAnsi="Times New Roman"/>
          <w:color w:val="000000" w:themeColor="text1"/>
        </w:rPr>
        <w:t>The rest of this report is structured as follows:</w:t>
      </w:r>
    </w:p>
    <w:p w:rsidR="00677130" w:rsidRPr="007C3FF5" w:rsidRDefault="006F5F4C" w:rsidP="00DF2C17">
      <w:pPr>
        <w:pStyle w:val="NoSpacing"/>
        <w:numPr>
          <w:ilvl w:val="0"/>
          <w:numId w:val="14"/>
        </w:numPr>
        <w:spacing w:line="276" w:lineRule="auto"/>
        <w:jc w:val="both"/>
        <w:rPr>
          <w:rFonts w:ascii="Times New Roman" w:hAnsi="Times New Roman" w:cs="Times New Roman"/>
        </w:rPr>
      </w:pPr>
      <w:r w:rsidRPr="007C3FF5">
        <w:rPr>
          <w:rFonts w:ascii="Times New Roman" w:hAnsi="Times New Roman" w:cs="Times New Roman"/>
        </w:rPr>
        <w:t>Section 2 explains the concepts under-pinning Supply Use Tables and how they may be used</w:t>
      </w:r>
      <w:r w:rsidR="00DF2C17" w:rsidRPr="007C3FF5">
        <w:rPr>
          <w:rFonts w:ascii="Times New Roman" w:hAnsi="Times New Roman" w:cs="Times New Roman"/>
        </w:rPr>
        <w:t>;</w:t>
      </w:r>
    </w:p>
    <w:p w:rsidR="006F5F4C" w:rsidRPr="007C3FF5" w:rsidRDefault="006F5F4C" w:rsidP="00DF2C17">
      <w:pPr>
        <w:pStyle w:val="NoSpacing"/>
        <w:numPr>
          <w:ilvl w:val="0"/>
          <w:numId w:val="14"/>
        </w:numPr>
        <w:spacing w:line="276" w:lineRule="auto"/>
        <w:jc w:val="both"/>
        <w:rPr>
          <w:rFonts w:ascii="Times New Roman" w:hAnsi="Times New Roman" w:cs="Times New Roman"/>
        </w:rPr>
      </w:pPr>
      <w:r w:rsidRPr="007C3FF5">
        <w:rPr>
          <w:rFonts w:ascii="Times New Roman" w:hAnsi="Times New Roman" w:cs="Times New Roman"/>
        </w:rPr>
        <w:t xml:space="preserve">Section 3 </w:t>
      </w:r>
      <w:r w:rsidR="001C5A54" w:rsidRPr="007C3FF5">
        <w:rPr>
          <w:rFonts w:ascii="Times New Roman" w:hAnsi="Times New Roman" w:cs="Times New Roman"/>
        </w:rPr>
        <w:t>goes into more detail about the individual elements in the tables and describes how these were populated for Northern Ireland</w:t>
      </w:r>
      <w:r w:rsidR="00DF2C17" w:rsidRPr="007C3FF5">
        <w:rPr>
          <w:rFonts w:ascii="Times New Roman" w:hAnsi="Times New Roman" w:cs="Times New Roman"/>
        </w:rPr>
        <w:t>; and</w:t>
      </w:r>
    </w:p>
    <w:p w:rsidR="00063A42" w:rsidRPr="007C3FF5" w:rsidRDefault="001C5A54" w:rsidP="00DF2C17">
      <w:pPr>
        <w:pStyle w:val="NoSpacing"/>
        <w:numPr>
          <w:ilvl w:val="0"/>
          <w:numId w:val="14"/>
        </w:numPr>
        <w:spacing w:line="276" w:lineRule="auto"/>
        <w:jc w:val="both"/>
        <w:rPr>
          <w:rFonts w:ascii="Times New Roman" w:hAnsi="Times New Roman" w:cs="Times New Roman"/>
        </w:rPr>
      </w:pPr>
      <w:r w:rsidRPr="007C3FF5">
        <w:rPr>
          <w:rFonts w:ascii="Times New Roman" w:hAnsi="Times New Roman" w:cs="Times New Roman"/>
        </w:rPr>
        <w:t xml:space="preserve">Section 4 </w:t>
      </w:r>
      <w:proofErr w:type="spellStart"/>
      <w:r w:rsidR="00063A42" w:rsidRPr="007C3FF5">
        <w:rPr>
          <w:rFonts w:ascii="Times New Roman" w:hAnsi="Times New Roman" w:cs="Times New Roman"/>
        </w:rPr>
        <w:t>summarises</w:t>
      </w:r>
      <w:proofErr w:type="spellEnd"/>
      <w:r w:rsidR="00063A42" w:rsidRPr="007C3FF5">
        <w:rPr>
          <w:rFonts w:ascii="Times New Roman" w:hAnsi="Times New Roman" w:cs="Times New Roman"/>
        </w:rPr>
        <w:t xml:space="preserve"> the work done to date and the key issues</w:t>
      </w:r>
    </w:p>
    <w:p w:rsidR="00427DC2" w:rsidRPr="007C3FF5" w:rsidRDefault="00427DC2">
      <w:pPr>
        <w:rPr>
          <w:rFonts w:ascii="Times New Roman" w:hAnsi="Times New Roman"/>
          <w:color w:val="000000" w:themeColor="text1"/>
        </w:rPr>
      </w:pPr>
    </w:p>
    <w:p w:rsidR="00B20B34" w:rsidRPr="007C3FF5" w:rsidRDefault="00B20B34" w:rsidP="001631FE">
      <w:pPr>
        <w:autoSpaceDE w:val="0"/>
        <w:autoSpaceDN w:val="0"/>
        <w:adjustRightInd w:val="0"/>
        <w:spacing w:after="441"/>
        <w:rPr>
          <w:rFonts w:ascii="Times New Roman" w:hAnsi="Times New Roman"/>
          <w:color w:val="000000" w:themeColor="text1"/>
        </w:rPr>
        <w:sectPr w:rsidR="00B20B34" w:rsidRPr="007C3FF5" w:rsidSect="00B20B34">
          <w:headerReference w:type="default" r:id="rId17"/>
          <w:footerReference w:type="even" r:id="rId18"/>
          <w:footerReference w:type="default" r:id="rId19"/>
          <w:pgSz w:w="11906" w:h="16838"/>
          <w:pgMar w:top="1440" w:right="1440" w:bottom="1440" w:left="1440" w:header="709" w:footer="709" w:gutter="0"/>
          <w:pgNumType w:start="1"/>
          <w:cols w:space="708"/>
          <w:docGrid w:linePitch="360"/>
        </w:sectPr>
      </w:pPr>
    </w:p>
    <w:p w:rsidR="001C5A54" w:rsidRPr="007C3FF5" w:rsidRDefault="001C5A54" w:rsidP="00B20B34">
      <w:pPr>
        <w:pStyle w:val="Heading1"/>
        <w:rPr>
          <w:lang w:bidi="ar-SA"/>
        </w:rPr>
      </w:pPr>
      <w:bookmarkStart w:id="16" w:name="_Toc383010482"/>
      <w:r w:rsidRPr="007C3FF5">
        <w:rPr>
          <w:lang w:bidi="ar-SA"/>
        </w:rPr>
        <w:t>An Overview of Supply and Use Tables (SUTs)</w:t>
      </w:r>
      <w:bookmarkEnd w:id="16"/>
      <w:r w:rsidRPr="007C3FF5">
        <w:rPr>
          <w:lang w:bidi="ar-SA"/>
        </w:rPr>
        <w:t xml:space="preserve"> </w:t>
      </w:r>
    </w:p>
    <w:p w:rsidR="00B20B34" w:rsidRPr="007C3FF5" w:rsidRDefault="00B20B34" w:rsidP="00B20B34">
      <w:pPr>
        <w:rPr>
          <w:lang w:bidi="ar-SA"/>
        </w:rPr>
      </w:pPr>
    </w:p>
    <w:p w:rsidR="00B518B5" w:rsidRPr="007C3FF5" w:rsidRDefault="00B518B5" w:rsidP="00B518B5">
      <w:pPr>
        <w:pStyle w:val="Heading2"/>
        <w:ind w:left="426"/>
        <w:rPr>
          <w:rFonts w:ascii="Times New Roman" w:hAnsi="Times New Roman" w:cs="Times New Roman"/>
          <w:lang w:bidi="ar-SA"/>
        </w:rPr>
      </w:pPr>
      <w:bookmarkStart w:id="17" w:name="_Toc383010483"/>
      <w:r w:rsidRPr="007C3FF5">
        <w:rPr>
          <w:rFonts w:ascii="Times New Roman" w:hAnsi="Times New Roman" w:cs="Times New Roman"/>
          <w:lang w:bidi="ar-SA"/>
        </w:rPr>
        <w:t>Introduction</w:t>
      </w:r>
      <w:bookmarkEnd w:id="17"/>
    </w:p>
    <w:p w:rsidR="00B518B5" w:rsidRPr="007C3FF5" w:rsidRDefault="00B518B5" w:rsidP="00B518B5">
      <w:pPr>
        <w:pStyle w:val="NoSpacing"/>
        <w:spacing w:line="276" w:lineRule="auto"/>
        <w:ind w:left="426"/>
        <w:jc w:val="both"/>
        <w:rPr>
          <w:rFonts w:ascii="Times New Roman" w:hAnsi="Times New Roman" w:cs="Times New Roman"/>
        </w:rPr>
      </w:pPr>
    </w:p>
    <w:p w:rsidR="001C5A54" w:rsidRPr="007C3FF5" w:rsidRDefault="001C5A54"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A modern open economy like that of Northern Ireland engages in </w:t>
      </w:r>
      <w:r w:rsidR="00182FCD" w:rsidRPr="007C3FF5">
        <w:rPr>
          <w:rFonts w:ascii="Times New Roman" w:hAnsi="Times New Roman" w:cs="Times New Roman"/>
        </w:rPr>
        <w:t>four</w:t>
      </w:r>
      <w:r w:rsidRPr="007C3FF5">
        <w:rPr>
          <w:rFonts w:ascii="Times New Roman" w:hAnsi="Times New Roman" w:cs="Times New Roman"/>
        </w:rPr>
        <w:t xml:space="preserve"> basic economic activities: </w:t>
      </w:r>
    </w:p>
    <w:p w:rsidR="00B518B5" w:rsidRPr="007C3FF5" w:rsidRDefault="00B518B5" w:rsidP="00B518B5">
      <w:pPr>
        <w:pStyle w:val="NoSpacing"/>
        <w:spacing w:line="276" w:lineRule="auto"/>
        <w:ind w:left="426"/>
        <w:jc w:val="both"/>
        <w:rPr>
          <w:rFonts w:ascii="Times New Roman" w:hAnsi="Times New Roman" w:cs="Times New Roman"/>
        </w:rPr>
      </w:pPr>
    </w:p>
    <w:p w:rsidR="001C5A54" w:rsidRPr="007C3FF5" w:rsidRDefault="001C5A54" w:rsidP="00225BB1">
      <w:pPr>
        <w:pStyle w:val="NoSpacing"/>
        <w:numPr>
          <w:ilvl w:val="0"/>
          <w:numId w:val="5"/>
        </w:numPr>
        <w:spacing w:line="276" w:lineRule="auto"/>
        <w:jc w:val="both"/>
        <w:rPr>
          <w:rFonts w:ascii="Times New Roman" w:hAnsi="Times New Roman" w:cs="Times New Roman"/>
        </w:rPr>
      </w:pPr>
      <w:r w:rsidRPr="007C3FF5">
        <w:rPr>
          <w:rFonts w:ascii="Times New Roman" w:hAnsi="Times New Roman" w:cs="Times New Roman"/>
        </w:rPr>
        <w:t xml:space="preserve">Production involves industries producing goods and services. </w:t>
      </w:r>
    </w:p>
    <w:p w:rsidR="001C5A54" w:rsidRPr="007C3FF5" w:rsidRDefault="001C5A54" w:rsidP="00225BB1">
      <w:pPr>
        <w:pStyle w:val="NoSpacing"/>
        <w:numPr>
          <w:ilvl w:val="0"/>
          <w:numId w:val="5"/>
        </w:numPr>
        <w:spacing w:line="276" w:lineRule="auto"/>
        <w:jc w:val="both"/>
        <w:rPr>
          <w:rFonts w:ascii="Times New Roman" w:hAnsi="Times New Roman" w:cs="Times New Roman"/>
        </w:rPr>
      </w:pPr>
      <w:r w:rsidRPr="007C3FF5">
        <w:rPr>
          <w:rFonts w:ascii="Times New Roman" w:hAnsi="Times New Roman" w:cs="Times New Roman"/>
        </w:rPr>
        <w:t xml:space="preserve">Consumption represents purchases of goods and services by both industries and domestic final users comprising mainly households and Central and Local Government. </w:t>
      </w:r>
    </w:p>
    <w:p w:rsidR="001C5A54" w:rsidRPr="007C3FF5" w:rsidRDefault="001C5A54" w:rsidP="00225BB1">
      <w:pPr>
        <w:pStyle w:val="NoSpacing"/>
        <w:numPr>
          <w:ilvl w:val="0"/>
          <w:numId w:val="5"/>
        </w:numPr>
        <w:spacing w:line="276" w:lineRule="auto"/>
        <w:jc w:val="both"/>
        <w:rPr>
          <w:rFonts w:ascii="Times New Roman" w:hAnsi="Times New Roman" w:cs="Times New Roman"/>
        </w:rPr>
      </w:pPr>
      <w:r w:rsidRPr="007C3FF5">
        <w:rPr>
          <w:rFonts w:ascii="Times New Roman" w:hAnsi="Times New Roman" w:cs="Times New Roman"/>
        </w:rPr>
        <w:t xml:space="preserve">Accumulation involves all capital transactions including all fixed investment expenditure and changes in the level of stocks. </w:t>
      </w:r>
    </w:p>
    <w:p w:rsidR="001C5A54" w:rsidRPr="007C3FF5" w:rsidRDefault="001C5A54" w:rsidP="00225BB1">
      <w:pPr>
        <w:pStyle w:val="NoSpacing"/>
        <w:numPr>
          <w:ilvl w:val="0"/>
          <w:numId w:val="5"/>
        </w:numPr>
        <w:spacing w:line="276" w:lineRule="auto"/>
        <w:jc w:val="both"/>
        <w:rPr>
          <w:rFonts w:ascii="Times New Roman" w:hAnsi="Times New Roman" w:cs="Times New Roman"/>
        </w:rPr>
      </w:pPr>
      <w:r w:rsidRPr="007C3FF5">
        <w:rPr>
          <w:rFonts w:ascii="Times New Roman" w:hAnsi="Times New Roman" w:cs="Times New Roman"/>
        </w:rPr>
        <w:t>Trade involves imports from, and exports to, Great Britain and the rest of the world (</w:t>
      </w:r>
      <w:proofErr w:type="spellStart"/>
      <w:r w:rsidRPr="007C3FF5">
        <w:rPr>
          <w:rFonts w:ascii="Times New Roman" w:hAnsi="Times New Roman" w:cs="Times New Roman"/>
        </w:rPr>
        <w:t>RoW</w:t>
      </w:r>
      <w:proofErr w:type="spellEnd"/>
      <w:r w:rsidRPr="007C3FF5">
        <w:rPr>
          <w:rFonts w:ascii="Times New Roman" w:hAnsi="Times New Roman" w:cs="Times New Roman"/>
        </w:rPr>
        <w:t xml:space="preserve">). </w:t>
      </w:r>
    </w:p>
    <w:p w:rsidR="001C5A54" w:rsidRPr="007C3FF5" w:rsidRDefault="001C5A54" w:rsidP="00B518B5">
      <w:pPr>
        <w:pStyle w:val="NoSpacing"/>
        <w:spacing w:line="276" w:lineRule="auto"/>
        <w:ind w:left="426"/>
        <w:jc w:val="both"/>
        <w:rPr>
          <w:rFonts w:ascii="Times New Roman" w:hAnsi="Times New Roman" w:cs="Times New Roman"/>
        </w:rPr>
      </w:pPr>
    </w:p>
    <w:p w:rsidR="00427DC2" w:rsidRPr="007C3FF5" w:rsidRDefault="00427DC2"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Measurement of these four activities is captured in the framework of the Supply-Use Tables. The resulting tables serve a number of purposes, all of which contribute in different ways to understanding the Northern </w:t>
      </w:r>
      <w:r w:rsidR="00B518B5" w:rsidRPr="007C3FF5">
        <w:rPr>
          <w:rFonts w:ascii="Times New Roman" w:hAnsi="Times New Roman" w:cs="Times New Roman"/>
        </w:rPr>
        <w:t>Ireland</w:t>
      </w:r>
      <w:r w:rsidRPr="007C3FF5">
        <w:rPr>
          <w:rFonts w:ascii="Times New Roman" w:hAnsi="Times New Roman" w:cs="Times New Roman"/>
        </w:rPr>
        <w:t xml:space="preserve"> economy.   The framework is illustrated below. </w:t>
      </w:r>
    </w:p>
    <w:p w:rsidR="001C5A54" w:rsidRPr="007C3FF5" w:rsidRDefault="001C5A54" w:rsidP="001631FE">
      <w:pPr>
        <w:autoSpaceDE w:val="0"/>
        <w:autoSpaceDN w:val="0"/>
        <w:adjustRightInd w:val="0"/>
        <w:spacing w:before="480" w:after="214"/>
        <w:outlineLvl w:val="1"/>
        <w:rPr>
          <w:rFonts w:ascii="Times New Roman" w:hAnsi="Times New Roman"/>
          <w:b/>
          <w:bCs/>
          <w:color w:val="63639A"/>
        </w:rPr>
      </w:pPr>
      <w:r w:rsidRPr="007C3FF5">
        <w:rPr>
          <w:rFonts w:ascii="Times New Roman" w:hAnsi="Times New Roman"/>
          <w:noProof/>
          <w:lang w:bidi="ar-SA"/>
        </w:rPr>
        <w:drawing>
          <wp:inline distT="0" distB="0" distL="0" distR="0">
            <wp:extent cx="5731510" cy="3058527"/>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731510" cy="3058527"/>
                    </a:xfrm>
                    <a:prstGeom prst="rect">
                      <a:avLst/>
                    </a:prstGeom>
                    <a:noFill/>
                    <a:ln w="9525">
                      <a:noFill/>
                      <a:miter lim="800000"/>
                      <a:headEnd/>
                      <a:tailEnd/>
                    </a:ln>
                  </pic:spPr>
                </pic:pic>
              </a:graphicData>
            </a:graphic>
          </wp:inline>
        </w:drawing>
      </w:r>
    </w:p>
    <w:p w:rsidR="001C5A54" w:rsidRPr="007C3FF5" w:rsidRDefault="001C5A54"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In broad terms, the output and supply table allows the user an appreciation of the absolute monetary values of each industry's output for a given calendar year. Additionally, and possibly more importantly, this table also presents the relationships between the output of products and the output of industries - e.g. key statistics are produced on the extent of diversification within industries and the extent of competition between industries producing the same product. </w:t>
      </w:r>
    </w:p>
    <w:p w:rsidR="00B518B5" w:rsidRPr="007C3FF5" w:rsidRDefault="00B518B5" w:rsidP="00B518B5">
      <w:pPr>
        <w:pStyle w:val="NoSpacing"/>
        <w:spacing w:line="276" w:lineRule="auto"/>
        <w:ind w:left="426"/>
        <w:jc w:val="both"/>
        <w:rPr>
          <w:rFonts w:ascii="Times New Roman" w:hAnsi="Times New Roman" w:cs="Times New Roman"/>
        </w:rPr>
      </w:pPr>
    </w:p>
    <w:p w:rsidR="001C5A54" w:rsidRPr="007C3FF5" w:rsidRDefault="001C5A54"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The combined use matrix shows the consumption of products (goods and services) and primary inputs, in terms of combined domestic and imported goods and services, used in each industry's production process and, in doing so, presents a comprehensive description of the domestic production functions of Northern </w:t>
      </w:r>
      <w:r w:rsidR="00B518B5" w:rsidRPr="007C3FF5">
        <w:rPr>
          <w:rFonts w:ascii="Times New Roman" w:hAnsi="Times New Roman" w:cs="Times New Roman"/>
        </w:rPr>
        <w:t>Ireland</w:t>
      </w:r>
      <w:r w:rsidRPr="007C3FF5">
        <w:rPr>
          <w:rFonts w:ascii="Times New Roman" w:hAnsi="Times New Roman" w:cs="Times New Roman"/>
        </w:rPr>
        <w:t xml:space="preserve"> industries. This table also gives detailed purchasing information by final consumers. </w:t>
      </w:r>
    </w:p>
    <w:p w:rsidR="00427DC2" w:rsidRPr="007C3FF5" w:rsidRDefault="00427DC2" w:rsidP="001631FE">
      <w:pPr>
        <w:autoSpaceDE w:val="0"/>
        <w:autoSpaceDN w:val="0"/>
        <w:adjustRightInd w:val="0"/>
        <w:spacing w:before="360" w:after="185"/>
        <w:rPr>
          <w:rFonts w:ascii="Times New Roman" w:hAnsi="Times New Roman"/>
          <w:b/>
          <w:bCs/>
          <w:color w:val="63639A"/>
        </w:rPr>
      </w:pPr>
    </w:p>
    <w:p w:rsidR="001C5A54" w:rsidRPr="007C3FF5" w:rsidRDefault="001C5A54" w:rsidP="00B518B5">
      <w:pPr>
        <w:pStyle w:val="Heading2"/>
        <w:ind w:left="426"/>
        <w:rPr>
          <w:rFonts w:ascii="Times New Roman" w:hAnsi="Times New Roman" w:cs="Times New Roman"/>
          <w:lang w:bidi="ar-SA"/>
        </w:rPr>
      </w:pPr>
      <w:bookmarkStart w:id="18" w:name="_Toc383010484"/>
      <w:r w:rsidRPr="007C3FF5">
        <w:rPr>
          <w:rFonts w:ascii="Times New Roman" w:hAnsi="Times New Roman" w:cs="Times New Roman"/>
          <w:lang w:bidi="ar-SA"/>
        </w:rPr>
        <w:t>The Supply Table</w:t>
      </w:r>
      <w:bookmarkEnd w:id="18"/>
      <w:r w:rsidRPr="007C3FF5">
        <w:rPr>
          <w:rFonts w:ascii="Times New Roman" w:hAnsi="Times New Roman" w:cs="Times New Roman"/>
          <w:lang w:bidi="ar-SA"/>
        </w:rPr>
        <w:t xml:space="preserve"> </w:t>
      </w:r>
    </w:p>
    <w:p w:rsidR="00B518B5" w:rsidRPr="007C3FF5" w:rsidRDefault="00B518B5" w:rsidP="00B518B5">
      <w:pPr>
        <w:pStyle w:val="NoSpacing"/>
        <w:spacing w:line="276" w:lineRule="auto"/>
        <w:ind w:left="426"/>
        <w:jc w:val="both"/>
        <w:rPr>
          <w:rFonts w:ascii="Times New Roman" w:hAnsi="Times New Roman" w:cs="Times New Roman"/>
        </w:rPr>
      </w:pPr>
    </w:p>
    <w:p w:rsidR="00C01866" w:rsidRPr="007C3FF5" w:rsidRDefault="001C5A54"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The primary purpose of the Supply Table is to show the goods and services produced by each industry in Northern Ireland along with the supply of goods and services including imports. The distinction between industries and products is important; individual firms and organisations are classified according to the products they make. If they produce more than one product, they are classified according to whichever product accounts for the largest component part of their output (£). Each industry produces what is termed to be its principal product (shown in the diagonal elements in the table) and many industries also produce a range of other products referred to as secondary production (shown in the off-diagonal cells) or by-products. </w:t>
      </w:r>
      <w:r w:rsidR="00C01866" w:rsidRPr="007C3FF5">
        <w:rPr>
          <w:rFonts w:ascii="Times New Roman" w:hAnsi="Times New Roman" w:cs="Times New Roman"/>
        </w:rPr>
        <w:t xml:space="preserve">The groupings of industries and products are based on standard international classifications: industries are </w:t>
      </w:r>
      <w:proofErr w:type="spellStart"/>
      <w:r w:rsidR="00C01866" w:rsidRPr="007C3FF5">
        <w:rPr>
          <w:rFonts w:ascii="Times New Roman" w:hAnsi="Times New Roman" w:cs="Times New Roman"/>
        </w:rPr>
        <w:t>categorised</w:t>
      </w:r>
      <w:proofErr w:type="spellEnd"/>
      <w:r w:rsidR="00C01866" w:rsidRPr="007C3FF5">
        <w:rPr>
          <w:rFonts w:ascii="Times New Roman" w:hAnsi="Times New Roman" w:cs="Times New Roman"/>
        </w:rPr>
        <w:t xml:space="preserve"> according to the standard industrial classification for 2010 (SIC 2010); while the products are </w:t>
      </w:r>
      <w:proofErr w:type="spellStart"/>
      <w:r w:rsidR="00C01866" w:rsidRPr="007C3FF5">
        <w:rPr>
          <w:rFonts w:ascii="Times New Roman" w:hAnsi="Times New Roman" w:cs="Times New Roman"/>
        </w:rPr>
        <w:t>categorised</w:t>
      </w:r>
      <w:proofErr w:type="spellEnd"/>
      <w:r w:rsidR="00C01866" w:rsidRPr="007C3FF5">
        <w:rPr>
          <w:rFonts w:ascii="Times New Roman" w:hAnsi="Times New Roman" w:cs="Times New Roman"/>
        </w:rPr>
        <w:t xml:space="preserve"> according to Classification of Products by Activity (CPA) 2008. </w:t>
      </w:r>
    </w:p>
    <w:p w:rsidR="00B518B5" w:rsidRPr="007C3FF5" w:rsidRDefault="00B518B5" w:rsidP="00B518B5">
      <w:pPr>
        <w:pStyle w:val="NoSpacing"/>
        <w:spacing w:line="276" w:lineRule="auto"/>
        <w:ind w:left="426"/>
        <w:jc w:val="both"/>
        <w:rPr>
          <w:rFonts w:ascii="Times New Roman" w:hAnsi="Times New Roman" w:cs="Times New Roman"/>
        </w:rPr>
      </w:pPr>
    </w:p>
    <w:p w:rsidR="00B518B5" w:rsidRPr="007C3FF5" w:rsidRDefault="001C5A54"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The supply of products is presented in the rows while the columns show the industries responsible for the output of these products. </w:t>
      </w:r>
      <w:r w:rsidR="006A041F" w:rsidRPr="007C3FF5">
        <w:rPr>
          <w:rFonts w:ascii="Times New Roman" w:hAnsi="Times New Roman" w:cs="Times New Roman"/>
        </w:rPr>
        <w:t>Imports are shown in a separate column</w:t>
      </w:r>
      <w:r w:rsidR="007578C1" w:rsidRPr="007C3FF5">
        <w:rPr>
          <w:rFonts w:ascii="Times New Roman" w:hAnsi="Times New Roman" w:cs="Times New Roman"/>
        </w:rPr>
        <w:t xml:space="preserve">. The full Supply Table </w:t>
      </w:r>
      <w:r w:rsidRPr="007C3FF5">
        <w:rPr>
          <w:rFonts w:ascii="Times New Roman" w:hAnsi="Times New Roman" w:cs="Times New Roman"/>
        </w:rPr>
        <w:t xml:space="preserve">shows the output of 110 </w:t>
      </w:r>
      <w:r w:rsidR="00C01866" w:rsidRPr="007C3FF5">
        <w:rPr>
          <w:rFonts w:ascii="Times New Roman" w:hAnsi="Times New Roman" w:cs="Times New Roman"/>
        </w:rPr>
        <w:t>SUT</w:t>
      </w:r>
      <w:r w:rsidRPr="007C3FF5">
        <w:rPr>
          <w:rFonts w:ascii="Times New Roman" w:hAnsi="Times New Roman" w:cs="Times New Roman"/>
        </w:rPr>
        <w:t xml:space="preserve"> industry groups by </w:t>
      </w:r>
      <w:r w:rsidR="006A041F" w:rsidRPr="007C3FF5">
        <w:rPr>
          <w:rFonts w:ascii="Times New Roman" w:hAnsi="Times New Roman" w:cs="Times New Roman"/>
        </w:rPr>
        <w:t xml:space="preserve">110 </w:t>
      </w:r>
      <w:r w:rsidR="00C01866" w:rsidRPr="007C3FF5">
        <w:rPr>
          <w:rFonts w:ascii="Times New Roman" w:hAnsi="Times New Roman" w:cs="Times New Roman"/>
        </w:rPr>
        <w:t>SUT</w:t>
      </w:r>
      <w:r w:rsidRPr="007C3FF5">
        <w:rPr>
          <w:rFonts w:ascii="Times New Roman" w:hAnsi="Times New Roman" w:cs="Times New Roman"/>
        </w:rPr>
        <w:t xml:space="preserve"> product groups. </w:t>
      </w:r>
    </w:p>
    <w:p w:rsidR="007578C1" w:rsidRPr="007C3FF5" w:rsidRDefault="007578C1" w:rsidP="00B518B5">
      <w:pPr>
        <w:pStyle w:val="NoSpacing"/>
        <w:spacing w:line="276" w:lineRule="auto"/>
        <w:ind w:left="426"/>
        <w:jc w:val="both"/>
        <w:rPr>
          <w:rFonts w:ascii="Times New Roman" w:hAnsi="Times New Roman" w:cs="Times New Roman"/>
        </w:rPr>
      </w:pPr>
    </w:p>
    <w:p w:rsidR="009B4699" w:rsidRPr="007C3FF5" w:rsidRDefault="001C5A54"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The Supply Table also demonstrates the transition from total supply of products at basic prices to total supply at purchasers' prices through the addition of distributors’ trading margins and taxes less subsidies on production.  Distributors’ trading margins represent the difference between the prices at which distributors buy and sell their products.  In the domestic supply table, these trading margins are shown as the output of the distribution industries, in the corresponding distribution services’ product rows.  In the distributors’ trading margin column of the supply table, the trading margins are distributed among the goods actually traded, and deducted from the distribution services products, so that the total for this column is zero.  Taxes on products include VAT and excise duties</w:t>
      </w:r>
      <w:r w:rsidR="00C01866" w:rsidRPr="007C3FF5">
        <w:rPr>
          <w:rFonts w:ascii="Times New Roman" w:hAnsi="Times New Roman" w:cs="Times New Roman"/>
        </w:rPr>
        <w:t>.  The addition of these taxes completes the transition from basic prices to purchasers</w:t>
      </w:r>
      <w:r w:rsidR="00E43B1B" w:rsidRPr="007C3FF5">
        <w:rPr>
          <w:rFonts w:ascii="Times New Roman" w:hAnsi="Times New Roman" w:cs="Times New Roman"/>
        </w:rPr>
        <w:t>’</w:t>
      </w:r>
      <w:r w:rsidR="00C01866" w:rsidRPr="007C3FF5">
        <w:rPr>
          <w:rFonts w:ascii="Times New Roman" w:hAnsi="Times New Roman" w:cs="Times New Roman"/>
        </w:rPr>
        <w:t xml:space="preserve"> prices.</w:t>
      </w:r>
    </w:p>
    <w:p w:rsidR="00B518B5" w:rsidRPr="007C3FF5" w:rsidRDefault="00B518B5" w:rsidP="00B518B5">
      <w:pPr>
        <w:pStyle w:val="NoSpacing"/>
        <w:spacing w:line="276" w:lineRule="auto"/>
        <w:ind w:left="426"/>
        <w:jc w:val="both"/>
        <w:rPr>
          <w:rFonts w:ascii="Times New Roman" w:hAnsi="Times New Roman" w:cs="Times New Roman"/>
        </w:rPr>
      </w:pPr>
    </w:p>
    <w:p w:rsidR="00C01866" w:rsidRPr="007C3FF5" w:rsidRDefault="00C01866" w:rsidP="00B518B5">
      <w:pPr>
        <w:pStyle w:val="NoSpacing"/>
        <w:spacing w:line="276" w:lineRule="auto"/>
        <w:ind w:left="426"/>
        <w:jc w:val="both"/>
        <w:rPr>
          <w:rFonts w:ascii="Times New Roman" w:hAnsi="Times New Roman" w:cs="Times New Roman"/>
        </w:rPr>
      </w:pPr>
      <w:r w:rsidRPr="007C3FF5">
        <w:rPr>
          <w:rFonts w:ascii="Times New Roman" w:hAnsi="Times New Roman" w:cs="Times New Roman"/>
        </w:rPr>
        <w:t>Examples of the use to which the Supply Table can be used are as follows:</w:t>
      </w:r>
    </w:p>
    <w:p w:rsidR="009B4699" w:rsidRPr="007C3FF5" w:rsidRDefault="001C5A54" w:rsidP="00225BB1">
      <w:pPr>
        <w:pStyle w:val="ListParagraph"/>
        <w:numPr>
          <w:ilvl w:val="0"/>
          <w:numId w:val="2"/>
        </w:numPr>
        <w:autoSpaceDE w:val="0"/>
        <w:autoSpaceDN w:val="0"/>
        <w:adjustRightInd w:val="0"/>
        <w:spacing w:before="240" w:after="180"/>
        <w:jc w:val="both"/>
        <w:outlineLvl w:val="3"/>
        <w:rPr>
          <w:rFonts w:ascii="Times New Roman" w:hAnsi="Times New Roman"/>
          <w:color w:val="63639A"/>
        </w:rPr>
      </w:pPr>
      <w:r w:rsidRPr="007C3FF5">
        <w:rPr>
          <w:rFonts w:ascii="Times New Roman" w:hAnsi="Times New Roman"/>
          <w:color w:val="63639A"/>
        </w:rPr>
        <w:t>Indicators of the diversity of comm</w:t>
      </w:r>
      <w:r w:rsidR="00C01866" w:rsidRPr="007C3FF5">
        <w:rPr>
          <w:rFonts w:ascii="Times New Roman" w:hAnsi="Times New Roman"/>
          <w:color w:val="63639A"/>
        </w:rPr>
        <w:t xml:space="preserve">odities produced by an industry.   </w:t>
      </w:r>
      <w:r w:rsidR="00D22C1B" w:rsidRPr="007C3FF5">
        <w:rPr>
          <w:rFonts w:ascii="Times New Roman" w:hAnsi="Times New Roman"/>
          <w:color w:val="000000"/>
        </w:rPr>
        <w:t xml:space="preserve">The leading diagonal of the supply table shows </w:t>
      </w:r>
      <w:r w:rsidRPr="007C3FF5">
        <w:rPr>
          <w:rFonts w:ascii="Times New Roman" w:hAnsi="Times New Roman"/>
          <w:color w:val="000000"/>
        </w:rPr>
        <w:t>t</w:t>
      </w:r>
      <w:r w:rsidR="00D22C1B" w:rsidRPr="007C3FF5">
        <w:rPr>
          <w:rFonts w:ascii="Times New Roman" w:hAnsi="Times New Roman"/>
          <w:color w:val="000000"/>
        </w:rPr>
        <w:t xml:space="preserve">he value of output of an industry’s principal product.  </w:t>
      </w:r>
      <w:r w:rsidR="004C2B6C" w:rsidRPr="007C3FF5">
        <w:rPr>
          <w:rFonts w:ascii="Times New Roman" w:hAnsi="Times New Roman"/>
          <w:color w:val="000000"/>
        </w:rPr>
        <w:t xml:space="preserve">This can be presented as </w:t>
      </w:r>
      <w:r w:rsidRPr="007C3FF5">
        <w:rPr>
          <w:rFonts w:ascii="Times New Roman" w:hAnsi="Times New Roman"/>
          <w:color w:val="000000"/>
        </w:rPr>
        <w:t xml:space="preserve">'Principal Products as a percentage of Total Industry Output'. </w:t>
      </w:r>
    </w:p>
    <w:p w:rsidR="001C5A54" w:rsidRPr="007C3FF5" w:rsidRDefault="001C5A54" w:rsidP="00225BB1">
      <w:pPr>
        <w:pStyle w:val="ListParagraph"/>
        <w:numPr>
          <w:ilvl w:val="0"/>
          <w:numId w:val="2"/>
        </w:numPr>
        <w:autoSpaceDE w:val="0"/>
        <w:autoSpaceDN w:val="0"/>
        <w:adjustRightInd w:val="0"/>
        <w:spacing w:after="180"/>
        <w:jc w:val="both"/>
        <w:rPr>
          <w:rFonts w:ascii="Times New Roman" w:hAnsi="Times New Roman"/>
          <w:color w:val="000000"/>
        </w:rPr>
      </w:pPr>
      <w:r w:rsidRPr="007C3FF5">
        <w:rPr>
          <w:rFonts w:ascii="Times New Roman" w:hAnsi="Times New Roman"/>
          <w:color w:val="63639A"/>
        </w:rPr>
        <w:t>Indicators of market share</w:t>
      </w:r>
      <w:r w:rsidR="004C2B6C" w:rsidRPr="007C3FF5">
        <w:rPr>
          <w:rFonts w:ascii="Times New Roman" w:hAnsi="Times New Roman"/>
          <w:color w:val="63639A"/>
        </w:rPr>
        <w:t xml:space="preserve">. </w:t>
      </w:r>
      <w:r w:rsidR="004C2B6C" w:rsidRPr="007C3FF5">
        <w:rPr>
          <w:rFonts w:ascii="Times New Roman" w:hAnsi="Times New Roman"/>
          <w:color w:val="000000"/>
        </w:rPr>
        <w:t xml:space="preserve"> </w:t>
      </w:r>
      <w:r w:rsidRPr="007C3FF5">
        <w:rPr>
          <w:rFonts w:ascii="Times New Roman" w:hAnsi="Times New Roman"/>
          <w:color w:val="000000"/>
        </w:rPr>
        <w:t xml:space="preserve">Conversely, </w:t>
      </w:r>
      <w:r w:rsidR="00D22C1B" w:rsidRPr="007C3FF5">
        <w:rPr>
          <w:rFonts w:ascii="Times New Roman" w:hAnsi="Times New Roman"/>
          <w:color w:val="000000"/>
        </w:rPr>
        <w:t xml:space="preserve">it is possible </w:t>
      </w:r>
      <w:r w:rsidRPr="007C3FF5">
        <w:rPr>
          <w:rFonts w:ascii="Times New Roman" w:hAnsi="Times New Roman"/>
          <w:color w:val="000000"/>
        </w:rPr>
        <w:t xml:space="preserve">to look at the industries that produce </w:t>
      </w:r>
      <w:r w:rsidR="00D22C1B" w:rsidRPr="007C3FF5">
        <w:rPr>
          <w:rFonts w:ascii="Times New Roman" w:hAnsi="Times New Roman"/>
          <w:color w:val="000000"/>
        </w:rPr>
        <w:t>particular</w:t>
      </w:r>
      <w:r w:rsidRPr="007C3FF5">
        <w:rPr>
          <w:rFonts w:ascii="Times New Roman" w:hAnsi="Times New Roman"/>
          <w:color w:val="000000"/>
        </w:rPr>
        <w:t xml:space="preserve"> products, </w:t>
      </w:r>
      <w:r w:rsidR="00D22C1B" w:rsidRPr="007C3FF5">
        <w:rPr>
          <w:rFonts w:ascii="Times New Roman" w:hAnsi="Times New Roman"/>
          <w:color w:val="000000"/>
        </w:rPr>
        <w:t>e</w:t>
      </w:r>
      <w:r w:rsidR="0056378C" w:rsidRPr="007C3FF5">
        <w:rPr>
          <w:rFonts w:ascii="Times New Roman" w:hAnsi="Times New Roman"/>
          <w:color w:val="000000"/>
        </w:rPr>
        <w:t>.</w:t>
      </w:r>
      <w:r w:rsidR="00D22C1B" w:rsidRPr="007C3FF5">
        <w:rPr>
          <w:rFonts w:ascii="Times New Roman" w:hAnsi="Times New Roman"/>
          <w:color w:val="000000"/>
        </w:rPr>
        <w:t>g</w:t>
      </w:r>
      <w:r w:rsidR="0056378C" w:rsidRPr="007C3FF5">
        <w:rPr>
          <w:rFonts w:ascii="Times New Roman" w:hAnsi="Times New Roman"/>
          <w:color w:val="000000"/>
        </w:rPr>
        <w:t>.</w:t>
      </w:r>
      <w:r w:rsidR="00D22C1B" w:rsidRPr="007C3FF5">
        <w:rPr>
          <w:rFonts w:ascii="Times New Roman" w:hAnsi="Times New Roman"/>
          <w:color w:val="000000"/>
        </w:rPr>
        <w:t xml:space="preserve"> to examine </w:t>
      </w:r>
      <w:r w:rsidR="00815F35" w:rsidRPr="007C3FF5">
        <w:rPr>
          <w:rFonts w:ascii="Times New Roman" w:hAnsi="Times New Roman"/>
          <w:color w:val="000000"/>
        </w:rPr>
        <w:t xml:space="preserve">the share of manufactured products produced by the </w:t>
      </w:r>
      <w:r w:rsidRPr="007C3FF5">
        <w:rPr>
          <w:rFonts w:ascii="Times New Roman" w:hAnsi="Times New Roman"/>
          <w:color w:val="000000"/>
        </w:rPr>
        <w:t xml:space="preserve">manufacturing industry. This is an indicator of market share and </w:t>
      </w:r>
      <w:r w:rsidR="004C2B6C" w:rsidRPr="007C3FF5">
        <w:rPr>
          <w:rFonts w:ascii="Times New Roman" w:hAnsi="Times New Roman"/>
          <w:color w:val="000000"/>
        </w:rPr>
        <w:t>can be</w:t>
      </w:r>
      <w:r w:rsidRPr="007C3FF5">
        <w:rPr>
          <w:rFonts w:ascii="Times New Roman" w:hAnsi="Times New Roman"/>
          <w:color w:val="000000"/>
        </w:rPr>
        <w:t xml:space="preserve"> presented, at 110-industry detail, in the Supply Table as 'Principal Products as a percentage of Total Output of Products'. </w:t>
      </w:r>
    </w:p>
    <w:p w:rsidR="00C01866" w:rsidRPr="007C3FF5" w:rsidRDefault="00C01866" w:rsidP="00225BB1">
      <w:pPr>
        <w:pStyle w:val="ListParagraph"/>
        <w:numPr>
          <w:ilvl w:val="0"/>
          <w:numId w:val="2"/>
        </w:numPr>
        <w:autoSpaceDE w:val="0"/>
        <w:autoSpaceDN w:val="0"/>
        <w:adjustRightInd w:val="0"/>
        <w:spacing w:after="180"/>
        <w:jc w:val="both"/>
        <w:rPr>
          <w:rFonts w:ascii="Times New Roman" w:hAnsi="Times New Roman"/>
        </w:rPr>
      </w:pPr>
      <w:r w:rsidRPr="007C3FF5">
        <w:rPr>
          <w:rFonts w:ascii="Times New Roman" w:hAnsi="Times New Roman"/>
          <w:color w:val="63639A"/>
        </w:rPr>
        <w:t>Indicators of import penetrations</w:t>
      </w:r>
      <w:r w:rsidR="004C2B6C" w:rsidRPr="007C3FF5">
        <w:rPr>
          <w:rFonts w:ascii="Times New Roman" w:hAnsi="Times New Roman"/>
          <w:color w:val="63639A"/>
        </w:rPr>
        <w:t xml:space="preserve">.  </w:t>
      </w:r>
      <w:r w:rsidR="004C2B6C" w:rsidRPr="007C3FF5">
        <w:rPr>
          <w:rFonts w:ascii="Times New Roman" w:hAnsi="Times New Roman"/>
        </w:rPr>
        <w:t xml:space="preserve">The share of the total supply of a product made up by imports can be seen by comparing the imports and total supply columns.  </w:t>
      </w:r>
    </w:p>
    <w:p w:rsidR="009A7AED" w:rsidRPr="007C3FF5" w:rsidRDefault="009A7AED" w:rsidP="001631FE">
      <w:pPr>
        <w:autoSpaceDE w:val="0"/>
        <w:autoSpaceDN w:val="0"/>
        <w:adjustRightInd w:val="0"/>
        <w:spacing w:before="360" w:after="185"/>
        <w:rPr>
          <w:rFonts w:ascii="Times New Roman" w:hAnsi="Times New Roman"/>
          <w:b/>
          <w:bCs/>
          <w:color w:val="63639A"/>
        </w:rPr>
      </w:pPr>
    </w:p>
    <w:p w:rsidR="009A7AED" w:rsidRPr="007C3FF5" w:rsidRDefault="009A7AED" w:rsidP="001631FE">
      <w:pPr>
        <w:autoSpaceDE w:val="0"/>
        <w:autoSpaceDN w:val="0"/>
        <w:adjustRightInd w:val="0"/>
        <w:spacing w:before="360" w:after="185"/>
        <w:rPr>
          <w:rFonts w:ascii="Times New Roman" w:hAnsi="Times New Roman"/>
          <w:b/>
          <w:bCs/>
          <w:color w:val="63639A"/>
        </w:rPr>
      </w:pPr>
    </w:p>
    <w:p w:rsidR="001C5A54" w:rsidRPr="007C3FF5" w:rsidRDefault="001C5A54" w:rsidP="0056378C">
      <w:pPr>
        <w:pStyle w:val="Heading2"/>
        <w:ind w:left="426"/>
        <w:rPr>
          <w:rFonts w:ascii="Times New Roman" w:hAnsi="Times New Roman" w:cs="Times New Roman"/>
          <w:lang w:bidi="ar-SA"/>
        </w:rPr>
      </w:pPr>
      <w:bookmarkStart w:id="19" w:name="_Toc383010485"/>
      <w:r w:rsidRPr="007C3FF5">
        <w:rPr>
          <w:rFonts w:ascii="Times New Roman" w:hAnsi="Times New Roman" w:cs="Times New Roman"/>
          <w:lang w:bidi="ar-SA"/>
        </w:rPr>
        <w:t>The Use Table</w:t>
      </w:r>
      <w:bookmarkEnd w:id="19"/>
      <w:r w:rsidRPr="007C3FF5">
        <w:rPr>
          <w:rFonts w:ascii="Times New Roman" w:hAnsi="Times New Roman" w:cs="Times New Roman"/>
          <w:lang w:bidi="ar-SA"/>
        </w:rPr>
        <w:t xml:space="preserve"> </w:t>
      </w:r>
    </w:p>
    <w:p w:rsidR="0056378C" w:rsidRPr="007C3FF5" w:rsidRDefault="0056378C" w:rsidP="0056378C">
      <w:pPr>
        <w:pStyle w:val="NoSpacing"/>
        <w:spacing w:line="276" w:lineRule="auto"/>
        <w:ind w:left="426"/>
        <w:jc w:val="both"/>
        <w:rPr>
          <w:rFonts w:ascii="Times New Roman" w:hAnsi="Times New Roman"/>
          <w:color w:val="000000"/>
        </w:rPr>
      </w:pPr>
    </w:p>
    <w:p w:rsidR="00537285" w:rsidRPr="007C3FF5" w:rsidRDefault="00537285" w:rsidP="0056378C">
      <w:pPr>
        <w:pStyle w:val="NoSpacing"/>
        <w:spacing w:line="276" w:lineRule="auto"/>
        <w:ind w:left="426"/>
        <w:jc w:val="both"/>
        <w:rPr>
          <w:rFonts w:ascii="Times New Roman" w:hAnsi="Times New Roman" w:cs="Times New Roman"/>
        </w:rPr>
      </w:pPr>
      <w:r w:rsidRPr="007C3FF5">
        <w:rPr>
          <w:rFonts w:ascii="Times New Roman" w:hAnsi="Times New Roman" w:cs="Times New Roman"/>
        </w:rPr>
        <w:t>Where the Supply Table presented the supp</w:t>
      </w:r>
      <w:r w:rsidR="00877B95" w:rsidRPr="007C3FF5">
        <w:rPr>
          <w:rFonts w:ascii="Times New Roman" w:hAnsi="Times New Roman" w:cs="Times New Roman"/>
        </w:rPr>
        <w:t xml:space="preserve">ly of goods and services for </w:t>
      </w:r>
      <w:r w:rsidRPr="007C3FF5">
        <w:rPr>
          <w:rFonts w:ascii="Times New Roman" w:hAnsi="Times New Roman" w:cs="Times New Roman"/>
        </w:rPr>
        <w:t xml:space="preserve">consumption, the Use Table shows the demand for the goods and services by industries and final demand across the product rows. </w:t>
      </w:r>
    </w:p>
    <w:p w:rsidR="0056378C" w:rsidRPr="007C3FF5" w:rsidRDefault="0056378C" w:rsidP="0056378C">
      <w:pPr>
        <w:pStyle w:val="NoSpacing"/>
        <w:spacing w:line="276" w:lineRule="auto"/>
        <w:ind w:left="426"/>
        <w:jc w:val="both"/>
        <w:rPr>
          <w:rFonts w:ascii="Times New Roman" w:hAnsi="Times New Roman" w:cs="Times New Roman"/>
        </w:rPr>
      </w:pPr>
    </w:p>
    <w:p w:rsidR="001C5A54" w:rsidRPr="007C3FF5" w:rsidRDefault="00537285" w:rsidP="0056378C">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If the domestic output part of the Supply Table at basic prices </w:t>
      </w:r>
      <w:r w:rsidR="001631FE" w:rsidRPr="007C3FF5">
        <w:rPr>
          <w:rFonts w:ascii="Times New Roman" w:hAnsi="Times New Roman" w:cs="Times New Roman"/>
        </w:rPr>
        <w:t>can be</w:t>
      </w:r>
      <w:r w:rsidRPr="007C3FF5">
        <w:rPr>
          <w:rFonts w:ascii="Times New Roman" w:hAnsi="Times New Roman" w:cs="Times New Roman"/>
        </w:rPr>
        <w:t xml:space="preserve"> thought of as showing the composition of industries’ outputs by product, the left hand side of the Use Table can be thought of as showing the composition of industries’ inputs.  </w:t>
      </w:r>
      <w:r w:rsidR="001C5A54" w:rsidRPr="007C3FF5">
        <w:rPr>
          <w:rFonts w:ascii="Times New Roman" w:hAnsi="Times New Roman" w:cs="Times New Roman"/>
        </w:rPr>
        <w:t xml:space="preserve">As </w:t>
      </w:r>
      <w:r w:rsidR="00815F35" w:rsidRPr="007C3FF5">
        <w:rPr>
          <w:rFonts w:ascii="Times New Roman" w:hAnsi="Times New Roman" w:cs="Times New Roman"/>
        </w:rPr>
        <w:t xml:space="preserve">with the </w:t>
      </w:r>
      <w:r w:rsidRPr="007C3FF5">
        <w:rPr>
          <w:rFonts w:ascii="Times New Roman" w:hAnsi="Times New Roman" w:cs="Times New Roman"/>
        </w:rPr>
        <w:t>S</w:t>
      </w:r>
      <w:r w:rsidR="00815F35" w:rsidRPr="007C3FF5">
        <w:rPr>
          <w:rFonts w:ascii="Times New Roman" w:hAnsi="Times New Roman" w:cs="Times New Roman"/>
        </w:rPr>
        <w:t>upply</w:t>
      </w:r>
      <w:r w:rsidR="001C5A54" w:rsidRPr="007C3FF5">
        <w:rPr>
          <w:rFonts w:ascii="Times New Roman" w:hAnsi="Times New Roman" w:cs="Times New Roman"/>
        </w:rPr>
        <w:t xml:space="preserve"> </w:t>
      </w:r>
      <w:r w:rsidRPr="007C3FF5">
        <w:rPr>
          <w:rFonts w:ascii="Times New Roman" w:hAnsi="Times New Roman" w:cs="Times New Roman"/>
        </w:rPr>
        <w:t>T</w:t>
      </w:r>
      <w:r w:rsidR="001C5A54" w:rsidRPr="007C3FF5">
        <w:rPr>
          <w:rFonts w:ascii="Times New Roman" w:hAnsi="Times New Roman" w:cs="Times New Roman"/>
        </w:rPr>
        <w:t xml:space="preserve">able, industries are shown in the columns and products in the rows. </w:t>
      </w:r>
    </w:p>
    <w:p w:rsidR="0056378C" w:rsidRPr="007C3FF5" w:rsidRDefault="0056378C" w:rsidP="0056378C">
      <w:pPr>
        <w:pStyle w:val="NoSpacing"/>
        <w:spacing w:line="276" w:lineRule="auto"/>
        <w:ind w:left="426"/>
        <w:jc w:val="both"/>
        <w:rPr>
          <w:rFonts w:ascii="Times New Roman" w:hAnsi="Times New Roman" w:cs="Times New Roman"/>
        </w:rPr>
      </w:pPr>
    </w:p>
    <w:p w:rsidR="001C5A54" w:rsidRPr="007C3FF5" w:rsidRDefault="001C5A54" w:rsidP="0056378C">
      <w:pPr>
        <w:pStyle w:val="NoSpacing"/>
        <w:spacing w:line="276" w:lineRule="auto"/>
        <w:ind w:left="426"/>
        <w:jc w:val="both"/>
        <w:rPr>
          <w:rFonts w:ascii="Times New Roman" w:hAnsi="Times New Roman" w:cs="Times New Roman"/>
        </w:rPr>
      </w:pPr>
      <w:r w:rsidRPr="007C3FF5">
        <w:rPr>
          <w:rFonts w:ascii="Times New Roman" w:hAnsi="Times New Roman" w:cs="Times New Roman"/>
        </w:rPr>
        <w:t xml:space="preserve">The Use Table can be split into 3 main sections. </w:t>
      </w:r>
    </w:p>
    <w:p w:rsidR="0056378C" w:rsidRPr="007C3FF5" w:rsidRDefault="0056378C" w:rsidP="0056378C">
      <w:pPr>
        <w:pStyle w:val="NoSpacing"/>
        <w:spacing w:line="276" w:lineRule="auto"/>
        <w:ind w:left="426"/>
        <w:jc w:val="both"/>
        <w:rPr>
          <w:rFonts w:ascii="Times New Roman" w:hAnsi="Times New Roman" w:cs="Times New Roman"/>
        </w:rPr>
      </w:pPr>
    </w:p>
    <w:p w:rsidR="001C5A54" w:rsidRPr="007C3FF5" w:rsidRDefault="001C5A54" w:rsidP="00225BB1">
      <w:pPr>
        <w:pStyle w:val="NoSpacing"/>
        <w:numPr>
          <w:ilvl w:val="0"/>
          <w:numId w:val="6"/>
        </w:numPr>
        <w:spacing w:line="276" w:lineRule="auto"/>
        <w:jc w:val="both"/>
        <w:rPr>
          <w:rFonts w:ascii="Times New Roman" w:hAnsi="Times New Roman"/>
          <w:color w:val="000000"/>
        </w:rPr>
      </w:pPr>
      <w:r w:rsidRPr="007C3FF5">
        <w:rPr>
          <w:rFonts w:ascii="Times New Roman" w:hAnsi="Times New Roman"/>
          <w:b/>
          <w:bCs/>
          <w:color w:val="000000"/>
        </w:rPr>
        <w:t>The intermediate demand (section 1)</w:t>
      </w:r>
      <w:r w:rsidRPr="007C3FF5">
        <w:rPr>
          <w:rFonts w:ascii="Times New Roman" w:hAnsi="Times New Roman"/>
          <w:color w:val="000000"/>
        </w:rPr>
        <w:t xml:space="preserve">, which shows the inputs of products, both domestic and imported, used by </w:t>
      </w:r>
      <w:r w:rsidR="00815F35" w:rsidRPr="007C3FF5">
        <w:rPr>
          <w:rFonts w:ascii="Times New Roman" w:hAnsi="Times New Roman"/>
          <w:color w:val="000000"/>
        </w:rPr>
        <w:t>UK</w:t>
      </w:r>
      <w:r w:rsidRPr="007C3FF5">
        <w:rPr>
          <w:rFonts w:ascii="Times New Roman" w:hAnsi="Times New Roman"/>
          <w:color w:val="000000"/>
        </w:rPr>
        <w:t xml:space="preserve"> industries in the production of their output. </w:t>
      </w:r>
    </w:p>
    <w:p w:rsidR="001C5A54" w:rsidRPr="007C3FF5" w:rsidRDefault="001C5A54" w:rsidP="00225BB1">
      <w:pPr>
        <w:pStyle w:val="NoSpacing"/>
        <w:numPr>
          <w:ilvl w:val="0"/>
          <w:numId w:val="6"/>
        </w:numPr>
        <w:spacing w:line="276" w:lineRule="auto"/>
        <w:jc w:val="both"/>
        <w:rPr>
          <w:rFonts w:ascii="Times New Roman" w:hAnsi="Times New Roman"/>
          <w:color w:val="000000"/>
        </w:rPr>
      </w:pPr>
      <w:r w:rsidRPr="007C3FF5">
        <w:rPr>
          <w:rFonts w:ascii="Times New Roman" w:hAnsi="Times New Roman"/>
          <w:b/>
          <w:bCs/>
          <w:color w:val="000000"/>
        </w:rPr>
        <w:t>The final demand (section 2)</w:t>
      </w:r>
      <w:r w:rsidRPr="007C3FF5">
        <w:rPr>
          <w:rFonts w:ascii="Times New Roman" w:hAnsi="Times New Roman"/>
          <w:color w:val="000000"/>
        </w:rPr>
        <w:t>, which shows the purchases of each product by each category of final demand (e.g.</w:t>
      </w:r>
      <w:r w:rsidR="0056378C" w:rsidRPr="007C3FF5">
        <w:rPr>
          <w:rFonts w:ascii="Times New Roman" w:hAnsi="Times New Roman"/>
          <w:color w:val="000000"/>
        </w:rPr>
        <w:t xml:space="preserve"> consumers, government, export).</w:t>
      </w:r>
    </w:p>
    <w:p w:rsidR="001C5A54" w:rsidRPr="007C3FF5" w:rsidRDefault="001C5A54" w:rsidP="00225BB1">
      <w:pPr>
        <w:pStyle w:val="NoSpacing"/>
        <w:numPr>
          <w:ilvl w:val="0"/>
          <w:numId w:val="6"/>
        </w:numPr>
        <w:spacing w:line="276" w:lineRule="auto"/>
        <w:jc w:val="both"/>
        <w:rPr>
          <w:rFonts w:ascii="Times New Roman" w:hAnsi="Times New Roman"/>
          <w:color w:val="000000"/>
        </w:rPr>
      </w:pPr>
      <w:r w:rsidRPr="007C3FF5">
        <w:rPr>
          <w:rFonts w:ascii="Times New Roman" w:hAnsi="Times New Roman"/>
          <w:b/>
          <w:bCs/>
          <w:color w:val="000000"/>
        </w:rPr>
        <w:t>The primary inputs (section 3)</w:t>
      </w:r>
      <w:r w:rsidRPr="007C3FF5">
        <w:rPr>
          <w:rFonts w:ascii="Times New Roman" w:hAnsi="Times New Roman"/>
          <w:color w:val="000000"/>
        </w:rPr>
        <w:t xml:space="preserve">, these inputs do not flow through the other industries, </w:t>
      </w:r>
      <w:proofErr w:type="gramStart"/>
      <w:r w:rsidRPr="007C3FF5">
        <w:rPr>
          <w:rFonts w:ascii="Times New Roman" w:hAnsi="Times New Roman"/>
          <w:color w:val="000000"/>
        </w:rPr>
        <w:t>they</w:t>
      </w:r>
      <w:proofErr w:type="gramEnd"/>
      <w:r w:rsidRPr="007C3FF5">
        <w:rPr>
          <w:rFonts w:ascii="Times New Roman" w:hAnsi="Times New Roman"/>
          <w:color w:val="000000"/>
        </w:rPr>
        <w:t xml:space="preserve"> are employees' salaries, taxes less subsidies on production and gross operating surplus, which together constitute Gross Value Added. </w:t>
      </w:r>
    </w:p>
    <w:p w:rsidR="00537285" w:rsidRPr="007C3FF5" w:rsidRDefault="00537285" w:rsidP="0056378C">
      <w:pPr>
        <w:pStyle w:val="NoSpacing"/>
        <w:spacing w:line="276" w:lineRule="auto"/>
        <w:ind w:left="426"/>
        <w:jc w:val="both"/>
        <w:rPr>
          <w:rFonts w:ascii="Times New Roman" w:hAnsi="Times New Roman" w:cs="Times New Roman"/>
        </w:rPr>
      </w:pPr>
    </w:p>
    <w:p w:rsidR="00537285" w:rsidRPr="007C3FF5" w:rsidRDefault="00537285" w:rsidP="0056378C">
      <w:pPr>
        <w:pStyle w:val="NoSpacing"/>
        <w:spacing w:line="276" w:lineRule="auto"/>
        <w:ind w:left="426"/>
        <w:jc w:val="both"/>
        <w:rPr>
          <w:rFonts w:ascii="Times New Roman" w:hAnsi="Times New Roman"/>
          <w:color w:val="000000"/>
        </w:rPr>
      </w:pPr>
      <w:r w:rsidRPr="007C3FF5">
        <w:rPr>
          <w:rFonts w:ascii="Times New Roman" w:hAnsi="Times New Roman" w:cs="Times New Roman"/>
        </w:rPr>
        <w:t>The co</w:t>
      </w:r>
      <w:r w:rsidRPr="007C3FF5">
        <w:rPr>
          <w:rFonts w:ascii="Times New Roman" w:hAnsi="Times New Roman"/>
          <w:color w:val="000000"/>
        </w:rPr>
        <w:t xml:space="preserve">lumns shown in the </w:t>
      </w:r>
      <w:r w:rsidRPr="007C3FF5">
        <w:rPr>
          <w:rFonts w:ascii="Times New Roman" w:hAnsi="Times New Roman"/>
          <w:b/>
          <w:color w:val="000000"/>
        </w:rPr>
        <w:t>intermediate demand</w:t>
      </w:r>
      <w:r w:rsidRPr="007C3FF5">
        <w:rPr>
          <w:rFonts w:ascii="Times New Roman" w:hAnsi="Times New Roman"/>
          <w:color w:val="000000"/>
        </w:rPr>
        <w:t xml:space="preserve"> part of the table list the goods and services each industry uses in order to produce its output (as described by the corresponding industry column in the Supply Table). The column totals give the total intermediate consumption of each industry. The row totals give the total intermediate demand for each product category. </w:t>
      </w:r>
    </w:p>
    <w:p w:rsidR="0056378C" w:rsidRPr="007C3FF5" w:rsidRDefault="0056378C" w:rsidP="0056378C">
      <w:pPr>
        <w:pStyle w:val="NoSpacing"/>
        <w:spacing w:line="276" w:lineRule="auto"/>
        <w:ind w:left="426"/>
        <w:jc w:val="both"/>
        <w:rPr>
          <w:rFonts w:ascii="Times New Roman" w:hAnsi="Times New Roman"/>
          <w:color w:val="000000"/>
        </w:rPr>
      </w:pPr>
    </w:p>
    <w:p w:rsidR="00A43F58" w:rsidRPr="007C3FF5" w:rsidRDefault="00A43F58"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w:t>
      </w:r>
      <w:r w:rsidRPr="007C3FF5">
        <w:rPr>
          <w:rFonts w:ascii="Times New Roman" w:hAnsi="Times New Roman"/>
          <w:b/>
          <w:color w:val="000000"/>
        </w:rPr>
        <w:t>final demand</w:t>
      </w:r>
      <w:r w:rsidRPr="007C3FF5">
        <w:rPr>
          <w:rFonts w:ascii="Times New Roman" w:hAnsi="Times New Roman"/>
          <w:color w:val="000000"/>
        </w:rPr>
        <w:t xml:space="preserve"> section of the Use Table comprises the following components in the columns:</w:t>
      </w:r>
    </w:p>
    <w:p w:rsidR="0056378C" w:rsidRPr="007C3FF5" w:rsidRDefault="0056378C" w:rsidP="0056378C">
      <w:pPr>
        <w:pStyle w:val="NoSpacing"/>
        <w:spacing w:line="276" w:lineRule="auto"/>
        <w:ind w:left="426"/>
        <w:jc w:val="both"/>
        <w:rPr>
          <w:rFonts w:ascii="Times New Roman" w:hAnsi="Times New Roman"/>
          <w:color w:val="000000"/>
        </w:rPr>
      </w:pPr>
    </w:p>
    <w:p w:rsidR="00A43F58" w:rsidRPr="007C3FF5" w:rsidRDefault="00A43F58" w:rsidP="00225BB1">
      <w:pPr>
        <w:pStyle w:val="NoSpacing"/>
        <w:numPr>
          <w:ilvl w:val="0"/>
          <w:numId w:val="6"/>
        </w:numPr>
        <w:spacing w:line="276" w:lineRule="auto"/>
        <w:jc w:val="both"/>
        <w:rPr>
          <w:rFonts w:ascii="Times New Roman" w:hAnsi="Times New Roman"/>
          <w:color w:val="000000"/>
        </w:rPr>
      </w:pPr>
      <w:r w:rsidRPr="007C3FF5">
        <w:rPr>
          <w:rFonts w:ascii="Times New Roman" w:hAnsi="Times New Roman"/>
          <w:b/>
          <w:bCs/>
          <w:color w:val="000000"/>
        </w:rPr>
        <w:t>Final</w:t>
      </w:r>
      <w:r w:rsidRPr="007C3FF5">
        <w:rPr>
          <w:rFonts w:ascii="Times New Roman" w:hAnsi="Times New Roman"/>
          <w:b/>
        </w:rPr>
        <w:t xml:space="preserve"> Consumption Expenditure</w:t>
      </w:r>
      <w:r w:rsidRPr="007C3FF5">
        <w:rPr>
          <w:rFonts w:ascii="Times New Roman" w:hAnsi="Times New Roman"/>
        </w:rPr>
        <w:t xml:space="preserve"> by: both resident and non-resident households in the UK (</w:t>
      </w:r>
      <w:proofErr w:type="spellStart"/>
      <w:r w:rsidRPr="007C3FF5">
        <w:rPr>
          <w:rFonts w:ascii="Times New Roman" w:hAnsi="Times New Roman"/>
        </w:rPr>
        <w:t>eg</w:t>
      </w:r>
      <w:proofErr w:type="spellEnd"/>
      <w:r w:rsidRPr="007C3FF5">
        <w:rPr>
          <w:rFonts w:ascii="Times New Roman" w:hAnsi="Times New Roman"/>
        </w:rPr>
        <w:t xml:space="preserve"> tourists or business visitors);</w:t>
      </w:r>
      <w:r w:rsidRPr="007C3FF5">
        <w:rPr>
          <w:rFonts w:ascii="Times New Roman" w:hAnsi="Times New Roman"/>
          <w:color w:val="63639A"/>
        </w:rPr>
        <w:t xml:space="preserve"> </w:t>
      </w:r>
      <w:r w:rsidRPr="007C3FF5">
        <w:rPr>
          <w:rFonts w:ascii="Times New Roman" w:hAnsi="Times New Roman"/>
          <w:color w:val="000000"/>
        </w:rPr>
        <w:t>by Non-</w:t>
      </w:r>
      <w:r w:rsidRPr="007C3FF5">
        <w:rPr>
          <w:rFonts w:ascii="Times New Roman" w:hAnsi="Times New Roman"/>
        </w:rPr>
        <w:t>Profit</w:t>
      </w:r>
      <w:r w:rsidRPr="007C3FF5">
        <w:rPr>
          <w:rFonts w:ascii="Times New Roman" w:hAnsi="Times New Roman"/>
          <w:color w:val="000000"/>
        </w:rPr>
        <w:t xml:space="preserve"> Institutions Serving Households (NPISHs); and by government, both central and local. </w:t>
      </w:r>
    </w:p>
    <w:p w:rsidR="008F4E91" w:rsidRPr="007C3FF5" w:rsidRDefault="00A43F58" w:rsidP="00225BB1">
      <w:pPr>
        <w:pStyle w:val="NoSpacing"/>
        <w:numPr>
          <w:ilvl w:val="0"/>
          <w:numId w:val="6"/>
        </w:numPr>
        <w:spacing w:line="276" w:lineRule="auto"/>
        <w:jc w:val="both"/>
        <w:rPr>
          <w:rFonts w:ascii="Times New Roman" w:hAnsi="Times New Roman"/>
          <w:color w:val="000000"/>
        </w:rPr>
      </w:pPr>
      <w:r w:rsidRPr="007C3FF5">
        <w:rPr>
          <w:rFonts w:ascii="Times New Roman" w:hAnsi="Times New Roman"/>
          <w:b/>
        </w:rPr>
        <w:t>Gross Capital Formation</w:t>
      </w:r>
      <w:r w:rsidR="008F4E91" w:rsidRPr="007C3FF5">
        <w:rPr>
          <w:rFonts w:ascii="Times New Roman" w:hAnsi="Times New Roman"/>
        </w:rPr>
        <w:t xml:space="preserve">, which is made up by </w:t>
      </w:r>
      <w:r w:rsidRPr="007C3FF5">
        <w:rPr>
          <w:rFonts w:ascii="Times New Roman" w:hAnsi="Times New Roman"/>
          <w:color w:val="000000"/>
        </w:rPr>
        <w:t>Gross Fixed Capital Formation (commonly called “investment expenditure”)</w:t>
      </w:r>
      <w:r w:rsidR="008F4E91" w:rsidRPr="007C3FF5">
        <w:rPr>
          <w:rFonts w:ascii="Times New Roman" w:hAnsi="Times New Roman"/>
          <w:color w:val="000000"/>
        </w:rPr>
        <w:t xml:space="preserve">; Valuables; </w:t>
      </w:r>
      <w:r w:rsidR="008F4E91" w:rsidRPr="007C3FF5">
        <w:rPr>
          <w:rFonts w:ascii="Times New Roman" w:hAnsi="Times New Roman"/>
        </w:rPr>
        <w:t>and</w:t>
      </w:r>
      <w:r w:rsidR="008F4E91" w:rsidRPr="007C3FF5">
        <w:rPr>
          <w:rFonts w:ascii="Times New Roman" w:hAnsi="Times New Roman"/>
          <w:color w:val="000000"/>
        </w:rPr>
        <w:t xml:space="preserve"> C</w:t>
      </w:r>
      <w:r w:rsidRPr="007C3FF5">
        <w:rPr>
          <w:rFonts w:ascii="Times New Roman" w:hAnsi="Times New Roman"/>
          <w:color w:val="000000"/>
        </w:rPr>
        <w:t xml:space="preserve">hange in Inventories </w:t>
      </w:r>
      <w:r w:rsidR="006A041F" w:rsidRPr="007C3FF5">
        <w:rPr>
          <w:rFonts w:ascii="Times New Roman" w:hAnsi="Times New Roman"/>
          <w:color w:val="000000"/>
        </w:rPr>
        <w:t>(which includes work in progress);</w:t>
      </w:r>
    </w:p>
    <w:p w:rsidR="00A43F58" w:rsidRPr="007C3FF5" w:rsidRDefault="00A43F58" w:rsidP="00225BB1">
      <w:pPr>
        <w:pStyle w:val="NoSpacing"/>
        <w:numPr>
          <w:ilvl w:val="0"/>
          <w:numId w:val="6"/>
        </w:numPr>
        <w:spacing w:line="276" w:lineRule="auto"/>
        <w:jc w:val="both"/>
        <w:rPr>
          <w:rFonts w:ascii="Times New Roman" w:hAnsi="Times New Roman"/>
          <w:color w:val="000000"/>
        </w:rPr>
      </w:pPr>
      <w:r w:rsidRPr="007C3FF5">
        <w:rPr>
          <w:rFonts w:ascii="Times New Roman" w:hAnsi="Times New Roman"/>
          <w:b/>
        </w:rPr>
        <w:t xml:space="preserve">Exports </w:t>
      </w:r>
      <w:r w:rsidR="008F4E91" w:rsidRPr="007C3FF5">
        <w:rPr>
          <w:rFonts w:ascii="Times New Roman" w:hAnsi="Times New Roman"/>
          <w:b/>
        </w:rPr>
        <w:t>of goods and services</w:t>
      </w:r>
      <w:r w:rsidR="008F4E91" w:rsidRPr="007C3FF5">
        <w:rPr>
          <w:rFonts w:ascii="Times New Roman" w:hAnsi="Times New Roman"/>
        </w:rPr>
        <w:t xml:space="preserve">.  For the purposes of this project, the aim was to try to obtain a four-way breakdown of exports by geographical area: </w:t>
      </w:r>
      <w:r w:rsidRPr="007C3FF5">
        <w:rPr>
          <w:rFonts w:ascii="Times New Roman" w:hAnsi="Times New Roman"/>
          <w:color w:val="000000"/>
        </w:rPr>
        <w:t>Great Br</w:t>
      </w:r>
      <w:r w:rsidR="008F4E91" w:rsidRPr="007C3FF5">
        <w:rPr>
          <w:rFonts w:ascii="Times New Roman" w:hAnsi="Times New Roman"/>
          <w:color w:val="000000"/>
        </w:rPr>
        <w:t>it</w:t>
      </w:r>
      <w:r w:rsidRPr="007C3FF5">
        <w:rPr>
          <w:rFonts w:ascii="Times New Roman" w:hAnsi="Times New Roman"/>
          <w:color w:val="000000"/>
        </w:rPr>
        <w:t>ain</w:t>
      </w:r>
      <w:r w:rsidR="008F4E91" w:rsidRPr="007C3FF5">
        <w:rPr>
          <w:rFonts w:ascii="Times New Roman" w:hAnsi="Times New Roman"/>
          <w:color w:val="000000"/>
        </w:rPr>
        <w:t xml:space="preserve">; </w:t>
      </w:r>
      <w:r w:rsidRPr="007C3FF5">
        <w:rPr>
          <w:rFonts w:ascii="Times New Roman" w:hAnsi="Times New Roman"/>
          <w:color w:val="000000"/>
        </w:rPr>
        <w:t>Ireland</w:t>
      </w:r>
      <w:r w:rsidR="008F4E91" w:rsidRPr="007C3FF5">
        <w:rPr>
          <w:rFonts w:ascii="Times New Roman" w:hAnsi="Times New Roman"/>
          <w:color w:val="000000"/>
        </w:rPr>
        <w:t xml:space="preserve">; </w:t>
      </w:r>
      <w:r w:rsidRPr="007C3FF5">
        <w:rPr>
          <w:rFonts w:ascii="Times New Roman" w:hAnsi="Times New Roman"/>
          <w:color w:val="000000"/>
        </w:rPr>
        <w:t>Rest of the European Union (REU</w:t>
      </w:r>
      <w:r w:rsidR="008F4E91" w:rsidRPr="007C3FF5">
        <w:rPr>
          <w:rFonts w:ascii="Times New Roman" w:hAnsi="Times New Roman"/>
          <w:color w:val="000000"/>
        </w:rPr>
        <w:t xml:space="preserve"> exports); and </w:t>
      </w:r>
      <w:r w:rsidRPr="007C3FF5">
        <w:rPr>
          <w:rFonts w:ascii="Times New Roman" w:hAnsi="Times New Roman"/>
          <w:color w:val="000000"/>
        </w:rPr>
        <w:t>Rest of the World (</w:t>
      </w:r>
      <w:proofErr w:type="spellStart"/>
      <w:r w:rsidRPr="007C3FF5">
        <w:rPr>
          <w:rFonts w:ascii="Times New Roman" w:hAnsi="Times New Roman"/>
          <w:color w:val="000000"/>
        </w:rPr>
        <w:t>RoW</w:t>
      </w:r>
      <w:proofErr w:type="spellEnd"/>
      <w:r w:rsidRPr="007C3FF5">
        <w:rPr>
          <w:rFonts w:ascii="Times New Roman" w:hAnsi="Times New Roman"/>
          <w:color w:val="000000"/>
        </w:rPr>
        <w:t xml:space="preserve"> exports) </w:t>
      </w:r>
    </w:p>
    <w:p w:rsidR="0056378C" w:rsidRPr="007C3FF5" w:rsidRDefault="0056378C" w:rsidP="0056378C">
      <w:pPr>
        <w:pStyle w:val="NoSpacing"/>
        <w:spacing w:line="276" w:lineRule="auto"/>
        <w:ind w:left="426"/>
        <w:jc w:val="both"/>
        <w:rPr>
          <w:rFonts w:ascii="Times New Roman" w:hAnsi="Times New Roman"/>
          <w:color w:val="000000"/>
        </w:rPr>
      </w:pPr>
    </w:p>
    <w:p w:rsidR="00A43F58" w:rsidRPr="007C3FF5" w:rsidRDefault="008F4E91"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For each of these components, a breakdown of final demand by product is given in the rows.</w:t>
      </w:r>
    </w:p>
    <w:p w:rsidR="008F4E91" w:rsidRPr="007C3FF5" w:rsidRDefault="008F4E91" w:rsidP="0056378C">
      <w:pPr>
        <w:pStyle w:val="NoSpacing"/>
        <w:spacing w:line="276" w:lineRule="auto"/>
        <w:ind w:left="426"/>
        <w:jc w:val="both"/>
        <w:rPr>
          <w:rFonts w:ascii="Times New Roman" w:hAnsi="Times New Roman"/>
          <w:color w:val="000000"/>
        </w:rPr>
      </w:pPr>
    </w:p>
    <w:p w:rsidR="00537285" w:rsidRPr="007C3FF5" w:rsidRDefault="00537285"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difference between the value of industry output at basic prices (which are the column totals of the Supply table) and the value of industry intermediate consumption at purchasers’ prices is Gross Value Added (GVA), which </w:t>
      </w:r>
      <w:r w:rsidR="006A041F" w:rsidRPr="007C3FF5">
        <w:rPr>
          <w:rFonts w:ascii="Times New Roman" w:hAnsi="Times New Roman"/>
          <w:color w:val="000000"/>
        </w:rPr>
        <w:t>is</w:t>
      </w:r>
      <w:r w:rsidRPr="007C3FF5">
        <w:rPr>
          <w:rFonts w:ascii="Times New Roman" w:hAnsi="Times New Roman"/>
          <w:color w:val="000000"/>
        </w:rPr>
        <w:t xml:space="preserve"> treat</w:t>
      </w:r>
      <w:r w:rsidR="006A041F" w:rsidRPr="007C3FF5">
        <w:rPr>
          <w:rFonts w:ascii="Times New Roman" w:hAnsi="Times New Roman"/>
          <w:color w:val="000000"/>
        </w:rPr>
        <w:t>ed</w:t>
      </w:r>
      <w:r w:rsidRPr="007C3FF5">
        <w:rPr>
          <w:rFonts w:ascii="Times New Roman" w:hAnsi="Times New Roman"/>
          <w:color w:val="000000"/>
        </w:rPr>
        <w:t xml:space="preserve"> as an input in the Supply and Use framework. GVA itself can be split into three components: Taxes less Subsidies on Production, Compensation of Employees, and Gross Operating Surplus</w:t>
      </w:r>
      <w:r w:rsidR="006A041F" w:rsidRPr="007C3FF5">
        <w:rPr>
          <w:rFonts w:ascii="Times New Roman" w:hAnsi="Times New Roman"/>
          <w:color w:val="000000"/>
        </w:rPr>
        <w:t xml:space="preserve"> (including capital consumption)</w:t>
      </w:r>
      <w:r w:rsidRPr="007C3FF5">
        <w:rPr>
          <w:rFonts w:ascii="Times New Roman" w:hAnsi="Times New Roman"/>
          <w:color w:val="000000"/>
        </w:rPr>
        <w:t xml:space="preserve">. These make up the </w:t>
      </w:r>
      <w:r w:rsidRPr="007C3FF5">
        <w:rPr>
          <w:rFonts w:ascii="Times New Roman" w:hAnsi="Times New Roman"/>
          <w:b/>
          <w:color w:val="000000"/>
        </w:rPr>
        <w:t>Primary Inputs</w:t>
      </w:r>
      <w:r w:rsidRPr="007C3FF5">
        <w:rPr>
          <w:rFonts w:ascii="Times New Roman" w:hAnsi="Times New Roman"/>
          <w:color w:val="000000"/>
        </w:rPr>
        <w:t xml:space="preserve"> table, which appears below the intermediate consumption part of the Use Table so that the column totals by industry in the Use Table sum to total output by industry. </w:t>
      </w:r>
    </w:p>
    <w:p w:rsidR="00537285" w:rsidRPr="007C3FF5" w:rsidRDefault="00537285" w:rsidP="001631FE">
      <w:pPr>
        <w:autoSpaceDE w:val="0"/>
        <w:autoSpaceDN w:val="0"/>
        <w:adjustRightInd w:val="0"/>
        <w:spacing w:after="180"/>
        <w:ind w:left="560"/>
        <w:rPr>
          <w:rFonts w:ascii="Times New Roman" w:hAnsi="Times New Roman"/>
          <w:color w:val="000000"/>
        </w:rPr>
      </w:pPr>
    </w:p>
    <w:p w:rsidR="001C5A54" w:rsidRPr="007C3FF5" w:rsidRDefault="001C5A54" w:rsidP="0056378C">
      <w:pPr>
        <w:pStyle w:val="Heading2"/>
        <w:ind w:left="426"/>
        <w:rPr>
          <w:rFonts w:ascii="Times New Roman" w:hAnsi="Times New Roman" w:cs="Times New Roman"/>
          <w:lang w:bidi="ar-SA"/>
        </w:rPr>
      </w:pPr>
      <w:bookmarkStart w:id="20" w:name="_Toc383010486"/>
      <w:proofErr w:type="gramStart"/>
      <w:r w:rsidRPr="007C3FF5">
        <w:rPr>
          <w:rFonts w:ascii="Times New Roman" w:hAnsi="Times New Roman" w:cs="Times New Roman"/>
          <w:lang w:bidi="ar-SA"/>
        </w:rPr>
        <w:t>Gross Domestic Product (GDP) and the Supply and Use Tables.</w:t>
      </w:r>
      <w:bookmarkEnd w:id="20"/>
      <w:proofErr w:type="gramEnd"/>
      <w:r w:rsidRPr="007C3FF5">
        <w:rPr>
          <w:rFonts w:ascii="Times New Roman" w:hAnsi="Times New Roman" w:cs="Times New Roman"/>
          <w:lang w:bidi="ar-SA"/>
        </w:rPr>
        <w:t xml:space="preserve"> </w:t>
      </w:r>
    </w:p>
    <w:p w:rsidR="0056378C" w:rsidRPr="007C3FF5" w:rsidRDefault="0056378C" w:rsidP="0056378C">
      <w:pPr>
        <w:pStyle w:val="NoSpacing"/>
        <w:spacing w:line="276" w:lineRule="auto"/>
        <w:ind w:left="426"/>
        <w:jc w:val="both"/>
        <w:rPr>
          <w:rFonts w:ascii="Times New Roman" w:hAnsi="Times New Roman"/>
          <w:color w:val="000000"/>
        </w:rPr>
      </w:pPr>
    </w:p>
    <w:p w:rsidR="001C5A54" w:rsidRPr="007C3FF5" w:rsidRDefault="001C5A54"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An important feature of the Supply and Use framework is that it presents Gross Domestic Product as measured using three distinct approaches. </w:t>
      </w:r>
    </w:p>
    <w:p w:rsidR="001C5A54" w:rsidRPr="007C3FF5" w:rsidRDefault="001C5A54" w:rsidP="0056378C">
      <w:pPr>
        <w:pStyle w:val="Heading3"/>
        <w:rPr>
          <w:rFonts w:ascii="Times New Roman" w:hAnsi="Times New Roman" w:cs="Times New Roman"/>
          <w:lang w:bidi="ar-SA"/>
        </w:rPr>
      </w:pPr>
      <w:bookmarkStart w:id="21" w:name="_Toc383010487"/>
      <w:r w:rsidRPr="007C3FF5">
        <w:rPr>
          <w:rFonts w:ascii="Times New Roman" w:hAnsi="Times New Roman" w:cs="Times New Roman"/>
          <w:lang w:bidi="ar-SA"/>
        </w:rPr>
        <w:t>GDP measured using the Production approach</w:t>
      </w:r>
      <w:bookmarkEnd w:id="21"/>
      <w:r w:rsidRPr="007C3FF5">
        <w:rPr>
          <w:rFonts w:ascii="Times New Roman" w:hAnsi="Times New Roman" w:cs="Times New Roman"/>
          <w:lang w:bidi="ar-SA"/>
        </w:rPr>
        <w:t xml:space="preserve"> </w:t>
      </w:r>
    </w:p>
    <w:p w:rsidR="0056378C" w:rsidRPr="007C3FF5" w:rsidRDefault="0056378C" w:rsidP="0056378C">
      <w:pPr>
        <w:pStyle w:val="NoSpacing"/>
        <w:spacing w:line="276" w:lineRule="auto"/>
        <w:ind w:left="426"/>
        <w:jc w:val="both"/>
        <w:rPr>
          <w:rFonts w:ascii="Times New Roman" w:hAnsi="Times New Roman"/>
          <w:color w:val="000000"/>
        </w:rPr>
      </w:pPr>
    </w:p>
    <w:p w:rsidR="001C5A54" w:rsidRPr="007C3FF5" w:rsidRDefault="001C5A54"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GDP at basic prices is also known as Gross Value Added (GVA)</w:t>
      </w:r>
      <w:r w:rsidR="00E43B1B" w:rsidRPr="007C3FF5">
        <w:rPr>
          <w:rFonts w:ascii="Times New Roman" w:hAnsi="Times New Roman"/>
          <w:color w:val="000000"/>
        </w:rPr>
        <w:t>;</w:t>
      </w:r>
      <w:r w:rsidRPr="007C3FF5">
        <w:rPr>
          <w:rFonts w:ascii="Times New Roman" w:hAnsi="Times New Roman"/>
          <w:color w:val="000000"/>
        </w:rPr>
        <w:t xml:space="preserve"> that is</w:t>
      </w:r>
      <w:r w:rsidR="00E43B1B" w:rsidRPr="007C3FF5">
        <w:rPr>
          <w:rFonts w:ascii="Times New Roman" w:hAnsi="Times New Roman"/>
          <w:color w:val="000000"/>
        </w:rPr>
        <w:t>,</w:t>
      </w:r>
      <w:r w:rsidRPr="007C3FF5">
        <w:rPr>
          <w:rFonts w:ascii="Times New Roman" w:hAnsi="Times New Roman"/>
          <w:color w:val="000000"/>
        </w:rPr>
        <w:t xml:space="preserve"> it is a measure of the gross value added to the economy by each producing unit in Northern Ireland. Broadly speaking, it is simply the sum of each company’s outputs (sales) less inputs (purchases). </w:t>
      </w:r>
    </w:p>
    <w:p w:rsidR="0056378C" w:rsidRPr="007C3FF5" w:rsidRDefault="0056378C" w:rsidP="0056378C">
      <w:pPr>
        <w:pStyle w:val="NoSpacing"/>
        <w:spacing w:line="276" w:lineRule="auto"/>
        <w:ind w:left="426"/>
        <w:jc w:val="both"/>
        <w:rPr>
          <w:rFonts w:ascii="Times New Roman" w:hAnsi="Times New Roman"/>
          <w:color w:val="000000"/>
        </w:rPr>
      </w:pPr>
    </w:p>
    <w:p w:rsidR="001C5A54" w:rsidRPr="007C3FF5" w:rsidRDefault="001C5A54"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output of an </w:t>
      </w:r>
      <w:proofErr w:type="spellStart"/>
      <w:r w:rsidRPr="007C3FF5">
        <w:rPr>
          <w:rFonts w:ascii="Times New Roman" w:hAnsi="Times New Roman"/>
          <w:color w:val="000000"/>
        </w:rPr>
        <w:t>organisation</w:t>
      </w:r>
      <w:proofErr w:type="spellEnd"/>
      <w:r w:rsidRPr="007C3FF5">
        <w:rPr>
          <w:rFonts w:ascii="Times New Roman" w:hAnsi="Times New Roman"/>
          <w:color w:val="000000"/>
        </w:rPr>
        <w:t xml:space="preserve"> </w:t>
      </w:r>
      <w:r w:rsidR="006A041F" w:rsidRPr="007C3FF5">
        <w:rPr>
          <w:rFonts w:ascii="Times New Roman" w:hAnsi="Times New Roman"/>
          <w:color w:val="000000"/>
        </w:rPr>
        <w:t>is approximately</w:t>
      </w:r>
      <w:r w:rsidRPr="007C3FF5">
        <w:rPr>
          <w:rFonts w:ascii="Times New Roman" w:hAnsi="Times New Roman"/>
          <w:color w:val="000000"/>
        </w:rPr>
        <w:t xml:space="preserve"> equal to the total value of sales (turnover) over a given period although account is also taken of goods manufactured but held in inventory and work in progress (which is particularly relevant for industries like ship-building where the outputs are high-value but infrequent). The final component of output includes any items of a capital nature created in-house for the companies own final use e.g. databases and other computer systems. These are valued and added to the other items to form a figure for the total value of goods and services produced by an </w:t>
      </w:r>
      <w:proofErr w:type="spellStart"/>
      <w:r w:rsidRPr="007C3FF5">
        <w:rPr>
          <w:rFonts w:ascii="Times New Roman" w:hAnsi="Times New Roman"/>
          <w:color w:val="000000"/>
        </w:rPr>
        <w:t>organisation</w:t>
      </w:r>
      <w:proofErr w:type="spellEnd"/>
      <w:r w:rsidRPr="007C3FF5">
        <w:rPr>
          <w:rFonts w:ascii="Times New Roman" w:hAnsi="Times New Roman"/>
          <w:color w:val="000000"/>
        </w:rPr>
        <w:t xml:space="preserve"> - their Gross Output at Basic Prices. </w:t>
      </w:r>
    </w:p>
    <w:p w:rsidR="0056378C" w:rsidRPr="007C3FF5" w:rsidRDefault="0056378C" w:rsidP="0056378C">
      <w:pPr>
        <w:pStyle w:val="NoSpacing"/>
        <w:spacing w:line="276" w:lineRule="auto"/>
        <w:ind w:left="426"/>
        <w:jc w:val="both"/>
        <w:rPr>
          <w:rFonts w:ascii="Times New Roman" w:hAnsi="Times New Roman"/>
          <w:color w:val="000000"/>
        </w:rPr>
      </w:pPr>
    </w:p>
    <w:p w:rsidR="001C5A54" w:rsidRPr="007C3FF5" w:rsidRDefault="001C5A54"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In producing these outputs, an </w:t>
      </w:r>
      <w:proofErr w:type="spellStart"/>
      <w:r w:rsidRPr="007C3FF5">
        <w:rPr>
          <w:rFonts w:ascii="Times New Roman" w:hAnsi="Times New Roman"/>
          <w:color w:val="000000"/>
        </w:rPr>
        <w:t>organisation</w:t>
      </w:r>
      <w:proofErr w:type="spellEnd"/>
      <w:r w:rsidRPr="007C3FF5">
        <w:rPr>
          <w:rFonts w:ascii="Times New Roman" w:hAnsi="Times New Roman"/>
          <w:color w:val="000000"/>
        </w:rPr>
        <w:t xml:space="preserve"> will have to purchase raw materials, energy and other intermediate inputs of goods and services: these are subtracted from the output (including any taxes relating to these purchases) to yield Gross Value Added. </w:t>
      </w:r>
      <w:r w:rsidR="009B4699" w:rsidRPr="007C3FF5">
        <w:rPr>
          <w:rFonts w:ascii="Times New Roman" w:hAnsi="Times New Roman"/>
          <w:color w:val="000000"/>
        </w:rPr>
        <w:t xml:space="preserve"> The following shows the calculation of GVA (production approach):</w:t>
      </w:r>
    </w:p>
    <w:p w:rsidR="0056378C" w:rsidRPr="007C3FF5" w:rsidRDefault="0056378C" w:rsidP="0056378C">
      <w:pPr>
        <w:pStyle w:val="NoSpacing"/>
        <w:spacing w:line="276" w:lineRule="auto"/>
        <w:ind w:left="426"/>
        <w:jc w:val="both"/>
        <w:rPr>
          <w:rFonts w:ascii="Times New Roman" w:hAnsi="Times New Roman"/>
          <w:color w:val="000000"/>
        </w:rPr>
      </w:pPr>
    </w:p>
    <w:tbl>
      <w:tblPr>
        <w:tblStyle w:val="TableGrid"/>
        <w:tblW w:w="0" w:type="auto"/>
        <w:tblInd w:w="534" w:type="dxa"/>
        <w:tblLook w:val="04A0"/>
      </w:tblPr>
      <w:tblGrid>
        <w:gridCol w:w="4961"/>
        <w:gridCol w:w="3747"/>
      </w:tblGrid>
      <w:tr w:rsidR="0046381A" w:rsidRPr="007C3FF5" w:rsidTr="00CB16C0">
        <w:tc>
          <w:tcPr>
            <w:tcW w:w="8708" w:type="dxa"/>
            <w:gridSpan w:val="2"/>
            <w:shd w:val="clear" w:color="auto" w:fill="1F497D" w:themeFill="text2"/>
          </w:tcPr>
          <w:p w:rsidR="0046381A" w:rsidRPr="007C3FF5" w:rsidRDefault="0046381A" w:rsidP="0046381A">
            <w:pPr>
              <w:pStyle w:val="NoSpacing"/>
              <w:spacing w:line="276" w:lineRule="auto"/>
              <w:jc w:val="center"/>
              <w:rPr>
                <w:rFonts w:ascii="Times New Roman" w:hAnsi="Times New Roman"/>
                <w:b/>
                <w:color w:val="FFFFFF" w:themeColor="background1"/>
                <w:sz w:val="20"/>
                <w:szCs w:val="20"/>
              </w:rPr>
            </w:pPr>
            <w:r w:rsidRPr="007C3FF5">
              <w:rPr>
                <w:rFonts w:ascii="Times New Roman" w:hAnsi="Times New Roman"/>
                <w:b/>
                <w:color w:val="FFFFFF" w:themeColor="background1"/>
                <w:sz w:val="20"/>
                <w:szCs w:val="20"/>
              </w:rPr>
              <w:t>Calculation of GDP (</w:t>
            </w:r>
            <w:r w:rsidR="000150E7" w:rsidRPr="007C3FF5">
              <w:rPr>
                <w:rFonts w:ascii="Times New Roman" w:hAnsi="Times New Roman"/>
                <w:b/>
                <w:color w:val="FFFFFF" w:themeColor="background1"/>
                <w:sz w:val="20"/>
                <w:szCs w:val="20"/>
              </w:rPr>
              <w:t>P</w:t>
            </w:r>
            <w:r w:rsidRPr="007C3FF5">
              <w:rPr>
                <w:rFonts w:ascii="Times New Roman" w:hAnsi="Times New Roman"/>
                <w:b/>
                <w:color w:val="FFFFFF" w:themeColor="background1"/>
                <w:sz w:val="20"/>
                <w:szCs w:val="20"/>
              </w:rPr>
              <w:t>roduction approach)</w:t>
            </w:r>
          </w:p>
        </w:tc>
      </w:tr>
      <w:tr w:rsidR="0046381A" w:rsidRPr="007C3FF5" w:rsidTr="0046381A">
        <w:tc>
          <w:tcPr>
            <w:tcW w:w="4961"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Total output at basic prices </w:t>
            </w:r>
          </w:p>
        </w:tc>
        <w:tc>
          <w:tcPr>
            <w:tcW w:w="3747"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w:t>
            </w:r>
          </w:p>
        </w:tc>
      </w:tr>
      <w:tr w:rsidR="0046381A" w:rsidRPr="007C3FF5" w:rsidTr="0046381A">
        <w:tc>
          <w:tcPr>
            <w:tcW w:w="4961"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Total intermediate inputs at purchasers’ prices </w:t>
            </w:r>
          </w:p>
        </w:tc>
        <w:tc>
          <w:tcPr>
            <w:tcW w:w="3747"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B</w:t>
            </w:r>
          </w:p>
        </w:tc>
      </w:tr>
      <w:tr w:rsidR="0046381A" w:rsidRPr="007C3FF5" w:rsidTr="0046381A">
        <w:tc>
          <w:tcPr>
            <w:tcW w:w="4961"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w:t>
            </w:r>
            <w:r w:rsidRPr="007C3FF5">
              <w:rPr>
                <w:rFonts w:ascii="Times New Roman" w:hAnsi="Times New Roman"/>
                <w:b/>
                <w:color w:val="000000"/>
                <w:sz w:val="20"/>
                <w:szCs w:val="20"/>
              </w:rPr>
              <w:t>Gross Value Added at basic prices</w:t>
            </w:r>
            <w:r w:rsidRPr="007C3FF5">
              <w:rPr>
                <w:rFonts w:ascii="Times New Roman" w:hAnsi="Times New Roman"/>
                <w:color w:val="000000"/>
                <w:sz w:val="20"/>
                <w:szCs w:val="20"/>
              </w:rPr>
              <w:t xml:space="preserve"> </w:t>
            </w:r>
          </w:p>
        </w:tc>
        <w:tc>
          <w:tcPr>
            <w:tcW w:w="3747"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A-B</w:t>
            </w:r>
          </w:p>
        </w:tc>
      </w:tr>
      <w:tr w:rsidR="0046381A" w:rsidRPr="007C3FF5" w:rsidTr="0046381A">
        <w:tc>
          <w:tcPr>
            <w:tcW w:w="4961"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Taxes less subsidies on products </w:t>
            </w:r>
          </w:p>
        </w:tc>
        <w:tc>
          <w:tcPr>
            <w:tcW w:w="3747"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C</w:t>
            </w:r>
          </w:p>
        </w:tc>
      </w:tr>
      <w:tr w:rsidR="0046381A" w:rsidRPr="007C3FF5" w:rsidTr="0046381A">
        <w:tc>
          <w:tcPr>
            <w:tcW w:w="4961"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w:t>
            </w:r>
            <w:r w:rsidRPr="007C3FF5">
              <w:rPr>
                <w:rFonts w:ascii="Times New Roman" w:hAnsi="Times New Roman"/>
                <w:b/>
                <w:color w:val="000000"/>
                <w:sz w:val="20"/>
                <w:szCs w:val="20"/>
              </w:rPr>
              <w:t xml:space="preserve">Gross Domestic Product at market prices </w:t>
            </w:r>
          </w:p>
        </w:tc>
        <w:tc>
          <w:tcPr>
            <w:tcW w:w="3747" w:type="dxa"/>
          </w:tcPr>
          <w:p w:rsidR="0046381A" w:rsidRPr="007C3FF5" w:rsidRDefault="0046381A" w:rsidP="0046381A">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A-B+C</w:t>
            </w:r>
          </w:p>
        </w:tc>
      </w:tr>
    </w:tbl>
    <w:p w:rsidR="00513896" w:rsidRPr="007C3FF5" w:rsidRDefault="00513896" w:rsidP="0056378C">
      <w:pPr>
        <w:pStyle w:val="NoSpacing"/>
        <w:spacing w:line="276" w:lineRule="auto"/>
        <w:ind w:left="426"/>
        <w:jc w:val="both"/>
        <w:rPr>
          <w:rFonts w:ascii="Times New Roman" w:hAnsi="Times New Roman"/>
          <w:color w:val="000000"/>
        </w:rPr>
      </w:pPr>
    </w:p>
    <w:p w:rsidR="00513896" w:rsidRPr="007C3FF5" w:rsidRDefault="00513896" w:rsidP="0056378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It is noted that experimental GVA figures using the Production approach for NI published by ONS in December 2013 estimate that </w:t>
      </w:r>
      <w:proofErr w:type="gramStart"/>
      <w:r w:rsidRPr="007C3FF5">
        <w:rPr>
          <w:rFonts w:ascii="Times New Roman" w:hAnsi="Times New Roman"/>
          <w:color w:val="000000"/>
        </w:rPr>
        <w:t>GVA(</w:t>
      </w:r>
      <w:proofErr w:type="gramEnd"/>
      <w:r w:rsidRPr="007C3FF5">
        <w:rPr>
          <w:rFonts w:ascii="Times New Roman" w:hAnsi="Times New Roman"/>
          <w:color w:val="000000"/>
        </w:rPr>
        <w:t>P) for NI in 2010 to be £29,213m</w:t>
      </w:r>
      <w:r w:rsidR="007E221B" w:rsidRPr="007C3FF5">
        <w:rPr>
          <w:rFonts w:ascii="Times New Roman" w:hAnsi="Times New Roman"/>
          <w:color w:val="000000"/>
        </w:rPr>
        <w:t xml:space="preserve">.  This is measured at basic prices and is very close to the estimate of GVA </w:t>
      </w:r>
      <w:r w:rsidR="0046381A" w:rsidRPr="007C3FF5">
        <w:rPr>
          <w:rFonts w:ascii="Times New Roman" w:hAnsi="Times New Roman"/>
          <w:color w:val="000000"/>
        </w:rPr>
        <w:t>calculated within the experimental NI SUT tables</w:t>
      </w:r>
      <w:r w:rsidR="007E221B" w:rsidRPr="007C3FF5">
        <w:rPr>
          <w:rFonts w:ascii="Times New Roman" w:hAnsi="Times New Roman"/>
          <w:color w:val="000000"/>
        </w:rPr>
        <w:t>.</w:t>
      </w:r>
    </w:p>
    <w:p w:rsidR="001C5A54" w:rsidRPr="007C3FF5" w:rsidRDefault="001C5A54" w:rsidP="0056378C">
      <w:pPr>
        <w:pStyle w:val="NoSpacing"/>
        <w:spacing w:line="276" w:lineRule="auto"/>
        <w:ind w:left="426"/>
        <w:jc w:val="both"/>
        <w:rPr>
          <w:rFonts w:ascii="Times New Roman" w:hAnsi="Times New Roman"/>
          <w:color w:val="000000"/>
        </w:rPr>
      </w:pPr>
    </w:p>
    <w:p w:rsidR="001C5A54" w:rsidRPr="007C3FF5" w:rsidRDefault="001C5A54" w:rsidP="00CE2908">
      <w:pPr>
        <w:pStyle w:val="Heading3"/>
        <w:rPr>
          <w:rFonts w:ascii="Times New Roman" w:hAnsi="Times New Roman" w:cs="Times New Roman"/>
          <w:lang w:bidi="ar-SA"/>
        </w:rPr>
      </w:pPr>
      <w:bookmarkStart w:id="22" w:name="_Toc383010488"/>
      <w:r w:rsidRPr="007C3FF5">
        <w:rPr>
          <w:rFonts w:ascii="Times New Roman" w:hAnsi="Times New Roman" w:cs="Times New Roman"/>
          <w:lang w:bidi="ar-SA"/>
        </w:rPr>
        <w:t>GDP measured using the Income approach</w:t>
      </w:r>
      <w:bookmarkEnd w:id="22"/>
      <w:r w:rsidRPr="007C3FF5">
        <w:rPr>
          <w:rFonts w:ascii="Times New Roman" w:hAnsi="Times New Roman" w:cs="Times New Roman"/>
          <w:lang w:bidi="ar-SA"/>
        </w:rPr>
        <w:t xml:space="preserve"> </w:t>
      </w:r>
    </w:p>
    <w:p w:rsidR="00A53DE5" w:rsidRPr="007C3FF5" w:rsidRDefault="00A53DE5" w:rsidP="00CE2908">
      <w:pPr>
        <w:pStyle w:val="NoSpacing"/>
        <w:keepNext/>
        <w:spacing w:line="276" w:lineRule="auto"/>
        <w:ind w:left="426"/>
        <w:jc w:val="both"/>
        <w:rPr>
          <w:rFonts w:ascii="Times New Roman" w:hAnsi="Times New Roman"/>
          <w:color w:val="000000"/>
        </w:rPr>
      </w:pPr>
    </w:p>
    <w:p w:rsidR="001C5A54" w:rsidRPr="007C3FF5" w:rsidRDefault="001C5A54" w:rsidP="00CE2908">
      <w:pPr>
        <w:pStyle w:val="NoSpacing"/>
        <w:keepNext/>
        <w:spacing w:line="276" w:lineRule="auto"/>
        <w:ind w:left="426"/>
        <w:jc w:val="both"/>
        <w:rPr>
          <w:rFonts w:ascii="Times New Roman" w:hAnsi="Times New Roman"/>
          <w:color w:val="000000"/>
        </w:rPr>
      </w:pPr>
      <w:r w:rsidRPr="007C3FF5">
        <w:rPr>
          <w:rFonts w:ascii="Times New Roman" w:hAnsi="Times New Roman"/>
          <w:color w:val="000000"/>
        </w:rPr>
        <w:t>Gross Value added (GDP at basic prices) is also equal to the costs of employment (wages, national insurance and pension contributions), any taxes, less subsidies, levied upon production (e.g. business rates, vehicle excise duty) and Gross Operating Surplus (broadly</w:t>
      </w:r>
      <w:r w:rsidR="00BB6503" w:rsidRPr="007C3FF5">
        <w:rPr>
          <w:rFonts w:ascii="Times New Roman" w:hAnsi="Times New Roman"/>
          <w:color w:val="000000"/>
        </w:rPr>
        <w:t xml:space="preserve"> analogous to profit)</w:t>
      </w:r>
      <w:r w:rsidR="009B4699" w:rsidRPr="007C3FF5">
        <w:rPr>
          <w:rFonts w:ascii="Times New Roman" w:hAnsi="Times New Roman"/>
          <w:color w:val="000000"/>
        </w:rPr>
        <w:t>.  The following shows the calculation of GVA (income approach):</w:t>
      </w:r>
    </w:p>
    <w:p w:rsidR="000150E7" w:rsidRPr="007C3FF5" w:rsidRDefault="000150E7" w:rsidP="00A53DE5">
      <w:pPr>
        <w:pStyle w:val="NoSpacing"/>
        <w:spacing w:line="276" w:lineRule="auto"/>
        <w:ind w:left="426"/>
        <w:jc w:val="both"/>
        <w:rPr>
          <w:rFonts w:ascii="Times New Roman" w:hAnsi="Times New Roman"/>
          <w:color w:val="000000"/>
        </w:rPr>
      </w:pPr>
    </w:p>
    <w:tbl>
      <w:tblPr>
        <w:tblStyle w:val="TableGrid"/>
        <w:tblW w:w="0" w:type="auto"/>
        <w:tblInd w:w="534" w:type="dxa"/>
        <w:tblLook w:val="04A0"/>
      </w:tblPr>
      <w:tblGrid>
        <w:gridCol w:w="4961"/>
        <w:gridCol w:w="3747"/>
      </w:tblGrid>
      <w:tr w:rsidR="000150E7" w:rsidRPr="007C3FF5" w:rsidTr="00CB16C0">
        <w:tc>
          <w:tcPr>
            <w:tcW w:w="8708" w:type="dxa"/>
            <w:gridSpan w:val="2"/>
            <w:shd w:val="clear" w:color="auto" w:fill="1F497D" w:themeFill="text2"/>
          </w:tcPr>
          <w:p w:rsidR="000150E7" w:rsidRPr="007C3FF5" w:rsidRDefault="000150E7" w:rsidP="001072D6">
            <w:pPr>
              <w:pStyle w:val="NoSpacing"/>
              <w:keepNext/>
              <w:spacing w:line="276" w:lineRule="auto"/>
              <w:jc w:val="center"/>
              <w:rPr>
                <w:rFonts w:ascii="Times New Roman" w:hAnsi="Times New Roman"/>
                <w:b/>
                <w:color w:val="FFFFFF" w:themeColor="background1"/>
                <w:sz w:val="20"/>
                <w:szCs w:val="20"/>
              </w:rPr>
            </w:pPr>
            <w:r w:rsidRPr="007C3FF5">
              <w:rPr>
                <w:rFonts w:ascii="Times New Roman" w:hAnsi="Times New Roman"/>
                <w:b/>
                <w:color w:val="FFFFFF" w:themeColor="background1"/>
                <w:sz w:val="20"/>
                <w:szCs w:val="20"/>
              </w:rPr>
              <w:t>Calculation of GDP (Income approach)</w:t>
            </w:r>
          </w:p>
        </w:tc>
      </w:tr>
      <w:tr w:rsidR="000150E7" w:rsidRPr="007C3FF5" w:rsidTr="00CB16C0">
        <w:tc>
          <w:tcPr>
            <w:tcW w:w="4961"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Compensation of Employees</w:t>
            </w:r>
          </w:p>
        </w:tc>
        <w:tc>
          <w:tcPr>
            <w:tcW w:w="3747"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A</w:t>
            </w:r>
          </w:p>
        </w:tc>
      </w:tr>
      <w:tr w:rsidR="000150E7" w:rsidRPr="007C3FF5" w:rsidTr="00CB16C0">
        <w:tc>
          <w:tcPr>
            <w:tcW w:w="4961"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Taxes, less subsidies, on production </w:t>
            </w:r>
          </w:p>
        </w:tc>
        <w:tc>
          <w:tcPr>
            <w:tcW w:w="3747"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B</w:t>
            </w:r>
          </w:p>
        </w:tc>
      </w:tr>
      <w:tr w:rsidR="000150E7" w:rsidRPr="007C3FF5" w:rsidTr="00CB16C0">
        <w:tc>
          <w:tcPr>
            <w:tcW w:w="4961"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 Gross Operating Surplus</w:t>
            </w:r>
          </w:p>
        </w:tc>
        <w:tc>
          <w:tcPr>
            <w:tcW w:w="3747"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C</w:t>
            </w:r>
          </w:p>
        </w:tc>
      </w:tr>
      <w:tr w:rsidR="000150E7" w:rsidRPr="007C3FF5" w:rsidTr="00CB16C0">
        <w:tc>
          <w:tcPr>
            <w:tcW w:w="4961"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w:t>
            </w:r>
            <w:r w:rsidRPr="007C3FF5">
              <w:rPr>
                <w:rFonts w:ascii="Times New Roman" w:hAnsi="Times New Roman"/>
                <w:b/>
                <w:color w:val="000000"/>
                <w:sz w:val="20"/>
                <w:szCs w:val="20"/>
              </w:rPr>
              <w:t>Gross Value Added at basic prices</w:t>
            </w:r>
            <w:r w:rsidRPr="007C3FF5">
              <w:rPr>
                <w:rFonts w:ascii="Times New Roman" w:hAnsi="Times New Roman"/>
                <w:color w:val="000000"/>
                <w:sz w:val="20"/>
                <w:szCs w:val="20"/>
              </w:rPr>
              <w:t xml:space="preserve"> </w:t>
            </w:r>
          </w:p>
        </w:tc>
        <w:tc>
          <w:tcPr>
            <w:tcW w:w="3747"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A+B+C</w:t>
            </w:r>
          </w:p>
        </w:tc>
      </w:tr>
      <w:tr w:rsidR="000150E7" w:rsidRPr="007C3FF5" w:rsidTr="00CB16C0">
        <w:tc>
          <w:tcPr>
            <w:tcW w:w="4961"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Taxes less subsidies on products </w:t>
            </w:r>
          </w:p>
        </w:tc>
        <w:tc>
          <w:tcPr>
            <w:tcW w:w="3747"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D</w:t>
            </w:r>
          </w:p>
        </w:tc>
      </w:tr>
      <w:tr w:rsidR="000150E7" w:rsidRPr="007C3FF5" w:rsidTr="00CB16C0">
        <w:tc>
          <w:tcPr>
            <w:tcW w:w="4961"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w:t>
            </w:r>
            <w:r w:rsidRPr="007C3FF5">
              <w:rPr>
                <w:rFonts w:ascii="Times New Roman" w:hAnsi="Times New Roman"/>
                <w:b/>
                <w:color w:val="000000"/>
                <w:sz w:val="20"/>
                <w:szCs w:val="20"/>
              </w:rPr>
              <w:t xml:space="preserve">Gross Domestic Product at market prices </w:t>
            </w:r>
          </w:p>
        </w:tc>
        <w:tc>
          <w:tcPr>
            <w:tcW w:w="3747" w:type="dxa"/>
          </w:tcPr>
          <w:p w:rsidR="000150E7" w:rsidRPr="007C3FF5" w:rsidRDefault="000150E7" w:rsidP="001072D6">
            <w:pPr>
              <w:pStyle w:val="NoSpacing"/>
              <w:keepNext/>
              <w:spacing w:line="276" w:lineRule="auto"/>
              <w:rPr>
                <w:rFonts w:ascii="Times New Roman" w:hAnsi="Times New Roman"/>
                <w:color w:val="000000"/>
                <w:sz w:val="20"/>
                <w:szCs w:val="20"/>
              </w:rPr>
            </w:pPr>
            <w:r w:rsidRPr="007C3FF5">
              <w:rPr>
                <w:rFonts w:ascii="Times New Roman" w:hAnsi="Times New Roman"/>
                <w:color w:val="000000"/>
                <w:sz w:val="20"/>
                <w:szCs w:val="20"/>
              </w:rPr>
              <w:t>A+B+C+D</w:t>
            </w:r>
          </w:p>
        </w:tc>
      </w:tr>
    </w:tbl>
    <w:p w:rsidR="000150E7" w:rsidRPr="007C3FF5" w:rsidRDefault="000150E7" w:rsidP="000150E7">
      <w:pPr>
        <w:pStyle w:val="NoSpacing"/>
        <w:spacing w:line="276" w:lineRule="auto"/>
        <w:ind w:left="425"/>
        <w:jc w:val="both"/>
        <w:rPr>
          <w:rFonts w:ascii="Times New Roman" w:hAnsi="Times New Roman"/>
          <w:color w:val="000000"/>
        </w:rPr>
      </w:pPr>
    </w:p>
    <w:p w:rsidR="001C5A54" w:rsidRPr="007C3FF5" w:rsidRDefault="001C5A54" w:rsidP="000150E7">
      <w:pPr>
        <w:pStyle w:val="Heading3"/>
        <w:rPr>
          <w:rFonts w:ascii="Times New Roman" w:hAnsi="Times New Roman" w:cs="Times New Roman"/>
          <w:lang w:bidi="ar-SA"/>
        </w:rPr>
      </w:pPr>
      <w:bookmarkStart w:id="23" w:name="_Toc383010489"/>
      <w:r w:rsidRPr="007C3FF5">
        <w:rPr>
          <w:rFonts w:ascii="Times New Roman" w:hAnsi="Times New Roman" w:cs="Times New Roman"/>
          <w:lang w:bidi="ar-SA"/>
        </w:rPr>
        <w:t>GDP measured using the Expenditure approach</w:t>
      </w:r>
      <w:bookmarkEnd w:id="23"/>
      <w:r w:rsidRPr="007C3FF5">
        <w:rPr>
          <w:rFonts w:ascii="Times New Roman" w:hAnsi="Times New Roman" w:cs="Times New Roman"/>
          <w:lang w:bidi="ar-SA"/>
        </w:rPr>
        <w:t xml:space="preserve"> </w:t>
      </w:r>
    </w:p>
    <w:p w:rsidR="000150E7" w:rsidRPr="007C3FF5" w:rsidRDefault="000150E7" w:rsidP="000150E7">
      <w:pPr>
        <w:pStyle w:val="NoSpacing"/>
        <w:spacing w:line="276" w:lineRule="auto"/>
        <w:ind w:left="426"/>
        <w:jc w:val="both"/>
        <w:rPr>
          <w:rFonts w:ascii="Times New Roman" w:hAnsi="Times New Roman"/>
          <w:color w:val="000000"/>
        </w:rPr>
      </w:pPr>
    </w:p>
    <w:p w:rsidR="001C5A54" w:rsidRPr="007C3FF5" w:rsidRDefault="001C5A54" w:rsidP="000150E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GDP (Gross Domestic Product at Market Prices) is usually </w:t>
      </w:r>
      <w:proofErr w:type="gramStart"/>
      <w:r w:rsidRPr="007C3FF5">
        <w:rPr>
          <w:rFonts w:ascii="Times New Roman" w:hAnsi="Times New Roman"/>
          <w:color w:val="000000"/>
        </w:rPr>
        <w:t>defined/calculated</w:t>
      </w:r>
      <w:proofErr w:type="gramEnd"/>
      <w:r w:rsidRPr="007C3FF5">
        <w:rPr>
          <w:rFonts w:ascii="Times New Roman" w:hAnsi="Times New Roman"/>
          <w:color w:val="000000"/>
        </w:rPr>
        <w:t xml:space="preserve"> as the sum of total final demand less total imports. </w:t>
      </w:r>
    </w:p>
    <w:p w:rsidR="000150E7" w:rsidRPr="007C3FF5" w:rsidRDefault="000150E7" w:rsidP="000150E7">
      <w:pPr>
        <w:pStyle w:val="NoSpacing"/>
        <w:spacing w:line="276" w:lineRule="auto"/>
        <w:ind w:left="426"/>
        <w:jc w:val="both"/>
        <w:rPr>
          <w:rFonts w:ascii="Times New Roman" w:hAnsi="Times New Roman"/>
          <w:color w:val="000000"/>
        </w:rPr>
      </w:pPr>
    </w:p>
    <w:p w:rsidR="001C5A54" w:rsidRPr="007C3FF5" w:rsidRDefault="001C5A54" w:rsidP="000150E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Total domestic demand comprises purchases (including all taxes that may apply) by: Households, Non-profit institutions, Tourists (or rather expenditure by non-residents), and Government. Gross fixed capital formation, changes in inventories and valuables are also included. </w:t>
      </w:r>
    </w:p>
    <w:p w:rsidR="000150E7" w:rsidRPr="007C3FF5" w:rsidRDefault="000150E7" w:rsidP="000150E7">
      <w:pPr>
        <w:pStyle w:val="NoSpacing"/>
        <w:spacing w:line="276" w:lineRule="auto"/>
        <w:ind w:left="426"/>
        <w:jc w:val="both"/>
        <w:rPr>
          <w:rFonts w:ascii="Times New Roman" w:hAnsi="Times New Roman"/>
          <w:color w:val="000000"/>
        </w:rPr>
      </w:pPr>
    </w:p>
    <w:p w:rsidR="001C5A54" w:rsidRPr="007C3FF5" w:rsidRDefault="001C5A54" w:rsidP="000150E7">
      <w:pPr>
        <w:pStyle w:val="NoSpacing"/>
        <w:spacing w:line="276" w:lineRule="auto"/>
        <w:ind w:left="426"/>
        <w:jc w:val="both"/>
        <w:rPr>
          <w:rFonts w:ascii="Times New Roman" w:hAnsi="Times New Roman"/>
          <w:color w:val="000000"/>
        </w:rPr>
      </w:pPr>
      <w:r w:rsidRPr="007C3FF5">
        <w:rPr>
          <w:rFonts w:ascii="Times New Roman" w:hAnsi="Times New Roman"/>
          <w:color w:val="000000"/>
        </w:rPr>
        <w:t>Final demand also includes the value of exports (which from a Northern Iris</w:t>
      </w:r>
      <w:r w:rsidR="006114E1" w:rsidRPr="007C3FF5">
        <w:rPr>
          <w:rFonts w:ascii="Times New Roman" w:hAnsi="Times New Roman"/>
          <w:color w:val="000000"/>
        </w:rPr>
        <w:t>h perspective include exports of</w:t>
      </w:r>
      <w:r w:rsidRPr="007C3FF5">
        <w:rPr>
          <w:rFonts w:ascii="Times New Roman" w:hAnsi="Times New Roman"/>
          <w:color w:val="000000"/>
        </w:rPr>
        <w:t xml:space="preserve"> goods and services to </w:t>
      </w:r>
      <w:r w:rsidR="006114E1" w:rsidRPr="007C3FF5">
        <w:rPr>
          <w:rFonts w:ascii="Times New Roman" w:hAnsi="Times New Roman"/>
          <w:color w:val="000000"/>
        </w:rPr>
        <w:t>Great Britain</w:t>
      </w:r>
      <w:r w:rsidRPr="007C3FF5">
        <w:rPr>
          <w:rFonts w:ascii="Times New Roman" w:hAnsi="Times New Roman"/>
          <w:color w:val="000000"/>
        </w:rPr>
        <w:t xml:space="preserve">). Imports include goods and services imported from </w:t>
      </w:r>
      <w:r w:rsidR="005C3F60" w:rsidRPr="007C3FF5">
        <w:rPr>
          <w:rFonts w:ascii="Times New Roman" w:hAnsi="Times New Roman"/>
          <w:color w:val="000000"/>
        </w:rPr>
        <w:t>Great Britain</w:t>
      </w:r>
      <w:r w:rsidRPr="007C3FF5">
        <w:rPr>
          <w:rFonts w:ascii="Times New Roman" w:hAnsi="Times New Roman"/>
          <w:color w:val="000000"/>
        </w:rPr>
        <w:t xml:space="preserve"> and will also include expenditure by Northern </w:t>
      </w:r>
      <w:r w:rsidR="00E32601" w:rsidRPr="007C3FF5">
        <w:rPr>
          <w:rFonts w:ascii="Times New Roman" w:hAnsi="Times New Roman"/>
          <w:color w:val="000000"/>
        </w:rPr>
        <w:t>Ireland</w:t>
      </w:r>
      <w:r w:rsidRPr="007C3FF5">
        <w:rPr>
          <w:rFonts w:ascii="Times New Roman" w:hAnsi="Times New Roman"/>
          <w:color w:val="000000"/>
        </w:rPr>
        <w:t xml:space="preserve"> residents outside Northern Ireland. </w:t>
      </w:r>
      <w:r w:rsidR="009B4699" w:rsidRPr="007C3FF5">
        <w:rPr>
          <w:rFonts w:ascii="Times New Roman" w:hAnsi="Times New Roman"/>
          <w:color w:val="000000"/>
        </w:rPr>
        <w:t>The following shows the calculatio</w:t>
      </w:r>
      <w:r w:rsidR="00FD5374" w:rsidRPr="007C3FF5">
        <w:rPr>
          <w:rFonts w:ascii="Times New Roman" w:hAnsi="Times New Roman"/>
          <w:color w:val="000000"/>
        </w:rPr>
        <w:t>n of GDP (expenditure approach)</w:t>
      </w:r>
      <w:r w:rsidR="009B4699" w:rsidRPr="007C3FF5">
        <w:rPr>
          <w:rFonts w:ascii="Times New Roman" w:hAnsi="Times New Roman"/>
          <w:color w:val="000000"/>
        </w:rPr>
        <w:t>:</w:t>
      </w:r>
    </w:p>
    <w:p w:rsidR="00E32601" w:rsidRPr="007C3FF5" w:rsidRDefault="00E32601" w:rsidP="000150E7">
      <w:pPr>
        <w:pStyle w:val="NoSpacing"/>
        <w:spacing w:line="276" w:lineRule="auto"/>
        <w:ind w:left="426"/>
        <w:jc w:val="both"/>
        <w:rPr>
          <w:rFonts w:ascii="Times New Roman" w:hAnsi="Times New Roman"/>
          <w:color w:val="000000"/>
        </w:rPr>
      </w:pPr>
    </w:p>
    <w:tbl>
      <w:tblPr>
        <w:tblStyle w:val="TableGrid"/>
        <w:tblW w:w="0" w:type="auto"/>
        <w:tblInd w:w="534" w:type="dxa"/>
        <w:tblLook w:val="04A0"/>
      </w:tblPr>
      <w:tblGrid>
        <w:gridCol w:w="4961"/>
        <w:gridCol w:w="3747"/>
      </w:tblGrid>
      <w:tr w:rsidR="00FD5374" w:rsidRPr="007C3FF5" w:rsidTr="00CB16C0">
        <w:tc>
          <w:tcPr>
            <w:tcW w:w="8708" w:type="dxa"/>
            <w:gridSpan w:val="2"/>
            <w:shd w:val="clear" w:color="auto" w:fill="1F497D" w:themeFill="text2"/>
          </w:tcPr>
          <w:p w:rsidR="00FD5374" w:rsidRPr="007C3FF5" w:rsidRDefault="00FD5374" w:rsidP="00FD5374">
            <w:pPr>
              <w:pStyle w:val="NoSpacing"/>
              <w:spacing w:line="276" w:lineRule="auto"/>
              <w:jc w:val="center"/>
              <w:rPr>
                <w:rFonts w:ascii="Times New Roman" w:hAnsi="Times New Roman"/>
                <w:b/>
                <w:color w:val="FFFFFF" w:themeColor="background1"/>
                <w:sz w:val="20"/>
                <w:szCs w:val="20"/>
              </w:rPr>
            </w:pPr>
            <w:r w:rsidRPr="007C3FF5">
              <w:rPr>
                <w:rFonts w:ascii="Times New Roman" w:hAnsi="Times New Roman"/>
                <w:b/>
                <w:color w:val="FFFFFF" w:themeColor="background1"/>
                <w:sz w:val="20"/>
                <w:szCs w:val="20"/>
              </w:rPr>
              <w:t>Calculation of GDP (Expenditure approach)</w:t>
            </w:r>
          </w:p>
        </w:tc>
      </w:tr>
      <w:tr w:rsidR="00FD5374" w:rsidRPr="007C3FF5" w:rsidTr="00CB16C0">
        <w:tc>
          <w:tcPr>
            <w:tcW w:w="4961" w:type="dxa"/>
          </w:tcPr>
          <w:p w:rsidR="00FD5374" w:rsidRPr="007C3FF5" w:rsidRDefault="00FD5374" w:rsidP="00FD5374">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Household final consumption </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w:t>
            </w:r>
          </w:p>
        </w:tc>
      </w:tr>
      <w:tr w:rsidR="00FD5374" w:rsidRPr="007C3FF5" w:rsidTr="00CB16C0">
        <w:tc>
          <w:tcPr>
            <w:tcW w:w="4961" w:type="dxa"/>
          </w:tcPr>
          <w:p w:rsidR="00FD5374" w:rsidRPr="007C3FF5" w:rsidRDefault="00FD5374" w:rsidP="00FD5374">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Non-profit making institutions serving households</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B</w:t>
            </w:r>
          </w:p>
        </w:tc>
      </w:tr>
      <w:tr w:rsidR="00FD5374" w:rsidRPr="007C3FF5" w:rsidTr="00CB16C0">
        <w:tc>
          <w:tcPr>
            <w:tcW w:w="4961" w:type="dxa"/>
          </w:tcPr>
          <w:p w:rsidR="00FD5374" w:rsidRPr="007C3FF5" w:rsidRDefault="00FD5374" w:rsidP="00FD5374">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General Government final consumption </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C</w:t>
            </w:r>
          </w:p>
        </w:tc>
      </w:tr>
      <w:tr w:rsidR="00FD5374" w:rsidRPr="007C3FF5" w:rsidTr="00CB16C0">
        <w:tc>
          <w:tcPr>
            <w:tcW w:w="4961" w:type="dxa"/>
          </w:tcPr>
          <w:p w:rsidR="00FD5374" w:rsidRPr="007C3FF5" w:rsidRDefault="00FD5374" w:rsidP="00FD5374">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Gross capital formation </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D</w:t>
            </w:r>
          </w:p>
        </w:tc>
      </w:tr>
      <w:tr w:rsidR="00FD5374" w:rsidRPr="007C3FF5" w:rsidTr="00CB16C0">
        <w:tc>
          <w:tcPr>
            <w:tcW w:w="4961" w:type="dxa"/>
          </w:tcPr>
          <w:p w:rsidR="00FD5374" w:rsidRPr="007C3FF5" w:rsidRDefault="00FD5374" w:rsidP="00FD5374">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Exports </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E</w:t>
            </w:r>
          </w:p>
        </w:tc>
      </w:tr>
      <w:tr w:rsidR="00FD5374" w:rsidRPr="007C3FF5" w:rsidTr="00CB16C0">
        <w:tc>
          <w:tcPr>
            <w:tcW w:w="4961" w:type="dxa"/>
          </w:tcPr>
          <w:p w:rsidR="00FD5374" w:rsidRPr="007C3FF5" w:rsidRDefault="00FD5374" w:rsidP="00FD5374">
            <w:pPr>
              <w:pStyle w:val="NoSpacing"/>
              <w:spacing w:line="276" w:lineRule="auto"/>
              <w:rPr>
                <w:rFonts w:ascii="Times New Roman" w:hAnsi="Times New Roman"/>
                <w:b/>
                <w:color w:val="000000"/>
                <w:sz w:val="20"/>
                <w:szCs w:val="20"/>
              </w:rPr>
            </w:pPr>
            <w:r w:rsidRPr="007C3FF5">
              <w:rPr>
                <w:rFonts w:ascii="Times New Roman" w:hAnsi="Times New Roman"/>
                <w:b/>
                <w:color w:val="000000"/>
                <w:sz w:val="20"/>
                <w:szCs w:val="20"/>
              </w:rPr>
              <w:t xml:space="preserve">= Total final demand </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A+B+C+D+E</w:t>
            </w:r>
          </w:p>
        </w:tc>
      </w:tr>
      <w:tr w:rsidR="00FD5374" w:rsidRPr="007C3FF5" w:rsidTr="00CB16C0">
        <w:tc>
          <w:tcPr>
            <w:tcW w:w="4961" w:type="dxa"/>
          </w:tcPr>
          <w:p w:rsidR="00FD5374" w:rsidRPr="007C3FF5" w:rsidRDefault="00FD5374" w:rsidP="00FD5374">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Total imports </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F</w:t>
            </w:r>
          </w:p>
        </w:tc>
      </w:tr>
      <w:tr w:rsidR="00FD5374" w:rsidRPr="007C3FF5" w:rsidTr="00CB16C0">
        <w:tc>
          <w:tcPr>
            <w:tcW w:w="4961"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xml:space="preserve">= </w:t>
            </w:r>
            <w:r w:rsidRPr="007C3FF5">
              <w:rPr>
                <w:rFonts w:ascii="Times New Roman" w:hAnsi="Times New Roman"/>
                <w:b/>
                <w:color w:val="000000"/>
                <w:sz w:val="20"/>
                <w:szCs w:val="20"/>
              </w:rPr>
              <w:t xml:space="preserve">Gross Domestic Product at market prices </w:t>
            </w:r>
          </w:p>
        </w:tc>
        <w:tc>
          <w:tcPr>
            <w:tcW w:w="3747" w:type="dxa"/>
          </w:tcPr>
          <w:p w:rsidR="00FD5374" w:rsidRPr="007C3FF5" w:rsidRDefault="00FD5374" w:rsidP="00CB16C0">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A+B+C+D+E-F</w:t>
            </w:r>
          </w:p>
        </w:tc>
      </w:tr>
    </w:tbl>
    <w:p w:rsidR="00FD5374" w:rsidRPr="007C3FF5" w:rsidRDefault="00FD5374" w:rsidP="000150E7">
      <w:pPr>
        <w:pStyle w:val="NoSpacing"/>
        <w:spacing w:line="276" w:lineRule="auto"/>
        <w:ind w:left="426"/>
        <w:jc w:val="both"/>
        <w:rPr>
          <w:rFonts w:ascii="Times New Roman" w:hAnsi="Times New Roman"/>
          <w:color w:val="000000"/>
        </w:rPr>
      </w:pPr>
    </w:p>
    <w:p w:rsidR="00E32601" w:rsidRPr="007C3FF5" w:rsidRDefault="00E32601" w:rsidP="000150E7">
      <w:pPr>
        <w:pStyle w:val="NoSpacing"/>
        <w:spacing w:line="276" w:lineRule="auto"/>
        <w:ind w:left="426"/>
        <w:jc w:val="both"/>
        <w:rPr>
          <w:rFonts w:ascii="Times New Roman" w:hAnsi="Times New Roman"/>
          <w:color w:val="000000"/>
        </w:rPr>
      </w:pPr>
    </w:p>
    <w:p w:rsidR="00CB16C0" w:rsidRPr="007C3FF5" w:rsidRDefault="00CB16C0" w:rsidP="001631FE">
      <w:pPr>
        <w:autoSpaceDE w:val="0"/>
        <w:autoSpaceDN w:val="0"/>
        <w:adjustRightInd w:val="0"/>
        <w:spacing w:after="441"/>
        <w:rPr>
          <w:rFonts w:ascii="Times New Roman" w:hAnsi="Times New Roman"/>
          <w:b/>
          <w:bCs/>
          <w:color w:val="63639A"/>
        </w:rPr>
      </w:pPr>
    </w:p>
    <w:p w:rsidR="00CB16C0" w:rsidRPr="007C3FF5" w:rsidRDefault="00CB16C0" w:rsidP="001631FE">
      <w:pPr>
        <w:autoSpaceDE w:val="0"/>
        <w:autoSpaceDN w:val="0"/>
        <w:adjustRightInd w:val="0"/>
        <w:spacing w:after="441"/>
        <w:rPr>
          <w:rFonts w:ascii="Times New Roman" w:hAnsi="Times New Roman"/>
          <w:b/>
          <w:bCs/>
          <w:color w:val="63639A"/>
        </w:rPr>
        <w:sectPr w:rsidR="00CB16C0" w:rsidRPr="007C3FF5" w:rsidSect="00B518B5">
          <w:pgSz w:w="11906" w:h="16838"/>
          <w:pgMar w:top="1440" w:right="1440" w:bottom="1440" w:left="1440" w:header="709" w:footer="709" w:gutter="0"/>
          <w:cols w:space="708"/>
          <w:docGrid w:linePitch="360"/>
        </w:sectPr>
      </w:pPr>
    </w:p>
    <w:p w:rsidR="001C5A54" w:rsidRPr="007C3FF5" w:rsidRDefault="001C5A54" w:rsidP="00CB16C0">
      <w:pPr>
        <w:pStyle w:val="Heading1"/>
        <w:rPr>
          <w:lang w:bidi="ar-SA"/>
        </w:rPr>
      </w:pPr>
      <w:bookmarkStart w:id="24" w:name="_Toc383010490"/>
      <w:r w:rsidRPr="007C3FF5">
        <w:rPr>
          <w:lang w:bidi="ar-SA"/>
        </w:rPr>
        <w:t>Compilation process for the Supply and Use Tables</w:t>
      </w:r>
      <w:bookmarkEnd w:id="24"/>
      <w:r w:rsidRPr="007C3FF5">
        <w:rPr>
          <w:lang w:bidi="ar-SA"/>
        </w:rPr>
        <w:t xml:space="preserve"> </w:t>
      </w:r>
    </w:p>
    <w:p w:rsidR="00CB16C0" w:rsidRPr="007C3FF5" w:rsidRDefault="00CB16C0" w:rsidP="00CB16C0">
      <w:pPr>
        <w:pStyle w:val="NoSpacing"/>
        <w:spacing w:line="276" w:lineRule="auto"/>
        <w:ind w:left="426"/>
        <w:jc w:val="both"/>
        <w:rPr>
          <w:rFonts w:ascii="Times New Roman" w:hAnsi="Times New Roman"/>
          <w:color w:val="000000"/>
        </w:rPr>
      </w:pPr>
    </w:p>
    <w:p w:rsidR="00E859BD" w:rsidRPr="007C3FF5" w:rsidRDefault="00E859BD" w:rsidP="00CB16C0">
      <w:pPr>
        <w:pStyle w:val="Heading2"/>
        <w:ind w:left="426"/>
        <w:rPr>
          <w:rFonts w:ascii="Times New Roman" w:hAnsi="Times New Roman" w:cs="Times New Roman"/>
          <w:lang w:bidi="ar-SA"/>
        </w:rPr>
      </w:pPr>
      <w:bookmarkStart w:id="25" w:name="_Toc383010491"/>
      <w:r w:rsidRPr="007C3FF5">
        <w:rPr>
          <w:rFonts w:ascii="Times New Roman" w:hAnsi="Times New Roman" w:cs="Times New Roman"/>
          <w:lang w:bidi="ar-SA"/>
        </w:rPr>
        <w:t>Introduction</w:t>
      </w:r>
      <w:bookmarkEnd w:id="25"/>
    </w:p>
    <w:p w:rsidR="00CB16C0" w:rsidRPr="007C3FF5" w:rsidRDefault="00CB16C0" w:rsidP="00CB16C0">
      <w:pPr>
        <w:pStyle w:val="NoSpacing"/>
        <w:spacing w:line="276" w:lineRule="auto"/>
        <w:ind w:left="426"/>
        <w:jc w:val="both"/>
        <w:rPr>
          <w:rFonts w:ascii="Times New Roman" w:hAnsi="Times New Roman"/>
          <w:color w:val="000000"/>
        </w:rPr>
      </w:pPr>
    </w:p>
    <w:p w:rsidR="002348AB" w:rsidRPr="007C3FF5" w:rsidRDefault="002348AB" w:rsidP="00CB16C0">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A trial balance of the Supply Use Tables for Northern Ireland </w:t>
      </w:r>
      <w:r w:rsidR="00D45F73" w:rsidRPr="007C3FF5">
        <w:rPr>
          <w:rFonts w:ascii="Times New Roman" w:hAnsi="Times New Roman"/>
          <w:color w:val="000000"/>
        </w:rPr>
        <w:t xml:space="preserve">for 2010 </w:t>
      </w:r>
      <w:r w:rsidRPr="007C3FF5">
        <w:rPr>
          <w:rFonts w:ascii="Times New Roman" w:hAnsi="Times New Roman"/>
          <w:color w:val="000000"/>
        </w:rPr>
        <w:t>was conducted.  The aim was to identify the available source data, where estimation could be used and where the gaps are.</w:t>
      </w:r>
    </w:p>
    <w:p w:rsidR="00CB16C0" w:rsidRPr="007C3FF5" w:rsidRDefault="00CB16C0" w:rsidP="00CB16C0">
      <w:pPr>
        <w:pStyle w:val="NoSpacing"/>
        <w:spacing w:line="276" w:lineRule="auto"/>
        <w:ind w:left="426"/>
        <w:jc w:val="both"/>
        <w:rPr>
          <w:rFonts w:ascii="Times New Roman" w:hAnsi="Times New Roman"/>
          <w:color w:val="000000"/>
        </w:rPr>
      </w:pPr>
    </w:p>
    <w:p w:rsidR="001C5A54" w:rsidRPr="007C3FF5" w:rsidRDefault="001C5A54" w:rsidP="00CB16C0">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process of compiling Supply and Use Tables is extremely data-intensive. Northern </w:t>
      </w:r>
      <w:r w:rsidR="00427DC2" w:rsidRPr="007C3FF5">
        <w:rPr>
          <w:rFonts w:ascii="Times New Roman" w:hAnsi="Times New Roman"/>
          <w:color w:val="000000"/>
        </w:rPr>
        <w:t>Ireland</w:t>
      </w:r>
      <w:r w:rsidRPr="007C3FF5">
        <w:rPr>
          <w:rFonts w:ascii="Times New Roman" w:hAnsi="Times New Roman"/>
          <w:color w:val="000000"/>
        </w:rPr>
        <w:t xml:space="preserve"> data are used where they are available and sufficiently robust, </w:t>
      </w:r>
      <w:r w:rsidR="006114E1" w:rsidRPr="007C3FF5">
        <w:rPr>
          <w:rFonts w:ascii="Times New Roman" w:hAnsi="Times New Roman"/>
          <w:color w:val="000000"/>
        </w:rPr>
        <w:t xml:space="preserve">but </w:t>
      </w:r>
      <w:r w:rsidR="007E221B" w:rsidRPr="007C3FF5">
        <w:rPr>
          <w:rFonts w:ascii="Times New Roman" w:hAnsi="Times New Roman"/>
          <w:color w:val="000000"/>
        </w:rPr>
        <w:t>for many items direct estimates for Northern Ireland are not available.  Where this is the case</w:t>
      </w:r>
      <w:r w:rsidRPr="007C3FF5">
        <w:rPr>
          <w:rFonts w:ascii="Times New Roman" w:hAnsi="Times New Roman"/>
          <w:color w:val="000000"/>
        </w:rPr>
        <w:t xml:space="preserve">, other data sources need to be relied upon, especially the UK Supply and Use Tables and associated background datasets. The compilation process for the Northern </w:t>
      </w:r>
      <w:r w:rsidR="002348AB" w:rsidRPr="007C3FF5">
        <w:rPr>
          <w:rFonts w:ascii="Times New Roman" w:hAnsi="Times New Roman"/>
          <w:color w:val="000000"/>
        </w:rPr>
        <w:t>Ireland tables wa</w:t>
      </w:r>
      <w:r w:rsidRPr="007C3FF5">
        <w:rPr>
          <w:rFonts w:ascii="Times New Roman" w:hAnsi="Times New Roman"/>
          <w:color w:val="000000"/>
        </w:rPr>
        <w:t xml:space="preserve">s therefore a mixture of a top-down apportionment driven approach, and a bottom-up raw data driven approach. </w:t>
      </w:r>
    </w:p>
    <w:p w:rsidR="00CB16C0" w:rsidRPr="007C3FF5" w:rsidRDefault="00CB16C0" w:rsidP="00CB16C0">
      <w:pPr>
        <w:pStyle w:val="NoSpacing"/>
        <w:spacing w:line="276" w:lineRule="auto"/>
        <w:ind w:left="426"/>
        <w:jc w:val="both"/>
        <w:rPr>
          <w:rFonts w:ascii="Times New Roman" w:hAnsi="Times New Roman"/>
          <w:color w:val="000000"/>
        </w:rPr>
      </w:pPr>
    </w:p>
    <w:p w:rsidR="008679A6" w:rsidRPr="007C3FF5" w:rsidRDefault="00B16554" w:rsidP="00CB16C0">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Estimates of gross value added (GVA) and its components </w:t>
      </w:r>
      <w:r w:rsidR="00435CE8" w:rsidRPr="007C3FF5">
        <w:rPr>
          <w:rFonts w:ascii="Times New Roman" w:hAnsi="Times New Roman"/>
          <w:color w:val="000000"/>
        </w:rPr>
        <w:t xml:space="preserve">were constrained so that they tied up with the figures </w:t>
      </w:r>
      <w:r w:rsidRPr="007C3FF5">
        <w:rPr>
          <w:rFonts w:ascii="Times New Roman" w:hAnsi="Times New Roman"/>
          <w:color w:val="000000"/>
        </w:rPr>
        <w:t>for Northern Ireland published annually by ONS as part of</w:t>
      </w:r>
      <w:r w:rsidR="008679A6" w:rsidRPr="007C3FF5">
        <w:rPr>
          <w:rFonts w:ascii="Times New Roman" w:hAnsi="Times New Roman"/>
          <w:color w:val="000000"/>
        </w:rPr>
        <w:t xml:space="preserve"> the UK regional accou</w:t>
      </w:r>
      <w:r w:rsidR="00435CE8" w:rsidRPr="007C3FF5">
        <w:rPr>
          <w:rFonts w:ascii="Times New Roman" w:hAnsi="Times New Roman"/>
          <w:color w:val="000000"/>
        </w:rPr>
        <w:t>nts.  The table below shows the figures published for Northern Ireland for 2010.  It can be seen that they are broken down by SIC section (a 20</w:t>
      </w:r>
      <w:r w:rsidR="008679A6" w:rsidRPr="007C3FF5">
        <w:rPr>
          <w:rFonts w:ascii="Times New Roman" w:hAnsi="Times New Roman"/>
          <w:color w:val="000000"/>
        </w:rPr>
        <w:t xml:space="preserve">-way breakdown of industry).  </w:t>
      </w:r>
    </w:p>
    <w:p w:rsidR="00CB16C0" w:rsidRPr="007C3FF5" w:rsidRDefault="00CB16C0" w:rsidP="00CB16C0">
      <w:pPr>
        <w:pStyle w:val="NoSpacing"/>
        <w:spacing w:line="276" w:lineRule="auto"/>
        <w:ind w:left="426"/>
        <w:jc w:val="both"/>
        <w:rPr>
          <w:rFonts w:ascii="Times New Roman" w:hAnsi="Times New Roman"/>
          <w:color w:val="000000"/>
        </w:rPr>
      </w:pPr>
    </w:p>
    <w:tbl>
      <w:tblPr>
        <w:tblW w:w="9883" w:type="dxa"/>
        <w:tblInd w:w="392" w:type="dxa"/>
        <w:tblLayout w:type="fixed"/>
        <w:tblLook w:val="04A0"/>
      </w:tblPr>
      <w:tblGrid>
        <w:gridCol w:w="394"/>
        <w:gridCol w:w="4000"/>
        <w:gridCol w:w="1418"/>
        <w:gridCol w:w="915"/>
        <w:gridCol w:w="1052"/>
        <w:gridCol w:w="1052"/>
        <w:gridCol w:w="1052"/>
      </w:tblGrid>
      <w:tr w:rsidR="00A3382C" w:rsidRPr="007C3FF5" w:rsidTr="00990882">
        <w:tc>
          <w:tcPr>
            <w:tcW w:w="9883" w:type="dxa"/>
            <w:gridSpan w:val="7"/>
            <w:tcBorders>
              <w:top w:val="single" w:sz="8" w:space="0" w:color="auto"/>
              <w:left w:val="single" w:sz="8" w:space="0" w:color="auto"/>
              <w:bottom w:val="single" w:sz="8" w:space="0" w:color="auto"/>
              <w:right w:val="single" w:sz="8" w:space="0" w:color="auto"/>
            </w:tcBorders>
            <w:shd w:val="clear" w:color="auto" w:fill="1F497D" w:themeFill="text2"/>
            <w:noWrap/>
            <w:vAlign w:val="center"/>
            <w:hideMark/>
          </w:tcPr>
          <w:p w:rsidR="00A3382C" w:rsidRPr="007C3FF5" w:rsidRDefault="00A3382C" w:rsidP="00CB16C0">
            <w:pPr>
              <w:pStyle w:val="NoSpacing"/>
              <w:jc w:val="center"/>
              <w:rPr>
                <w:rFonts w:ascii="Times New Roman" w:hAnsi="Times New Roman" w:cs="Times New Roman"/>
                <w:b/>
                <w:color w:val="FFFFFF" w:themeColor="background1"/>
                <w:sz w:val="16"/>
                <w:szCs w:val="16"/>
                <w:lang w:eastAsia="en-GB" w:bidi="ar-SA"/>
              </w:rPr>
            </w:pPr>
            <w:r w:rsidRPr="007C3FF5">
              <w:rPr>
                <w:rFonts w:ascii="Times New Roman" w:hAnsi="Times New Roman" w:cs="Times New Roman"/>
                <w:b/>
                <w:color w:val="FFFFFF" w:themeColor="background1"/>
                <w:sz w:val="16"/>
                <w:szCs w:val="16"/>
                <w:lang w:eastAsia="en-GB" w:bidi="ar-SA"/>
              </w:rPr>
              <w:t>ONS Regional Accounts data for Northern Ireland 2010 (£m)</w:t>
            </w:r>
          </w:p>
        </w:tc>
      </w:tr>
      <w:tr w:rsidR="00CB16C0" w:rsidRPr="007C3FF5" w:rsidTr="00A3382C">
        <w:tc>
          <w:tcPr>
            <w:tcW w:w="4394" w:type="dxa"/>
            <w:gridSpan w:val="2"/>
            <w:tcBorders>
              <w:top w:val="single" w:sz="8" w:space="0" w:color="auto"/>
              <w:left w:val="single" w:sz="8" w:space="0" w:color="auto"/>
              <w:bottom w:val="single" w:sz="8" w:space="0" w:color="auto"/>
              <w:right w:val="nil"/>
            </w:tcBorders>
            <w:shd w:val="clear" w:color="auto" w:fill="1F497D" w:themeFill="text2"/>
            <w:noWrap/>
            <w:vAlign w:val="center"/>
            <w:hideMark/>
          </w:tcPr>
          <w:p w:rsidR="00CB16C0" w:rsidRPr="007C3FF5" w:rsidRDefault="00CB16C0" w:rsidP="00CB16C0">
            <w:pPr>
              <w:pStyle w:val="NoSpacing"/>
              <w:rPr>
                <w:rFonts w:ascii="Times New Roman" w:hAnsi="Times New Roman" w:cs="Times New Roman"/>
                <w:b/>
                <w:color w:val="FFFFFF" w:themeColor="background1"/>
                <w:sz w:val="16"/>
                <w:szCs w:val="16"/>
                <w:lang w:eastAsia="en-GB" w:bidi="ar-SA"/>
              </w:rPr>
            </w:pPr>
            <w:r w:rsidRPr="007C3FF5">
              <w:rPr>
                <w:rFonts w:ascii="Times New Roman" w:hAnsi="Times New Roman" w:cs="Times New Roman"/>
                <w:b/>
                <w:color w:val="FFFFFF" w:themeColor="background1"/>
                <w:sz w:val="16"/>
                <w:szCs w:val="16"/>
                <w:lang w:eastAsia="en-GB" w:bidi="ar-SA"/>
              </w:rPr>
              <w:t>Industry Section</w:t>
            </w:r>
          </w:p>
        </w:tc>
        <w:tc>
          <w:tcPr>
            <w:tcW w:w="1418" w:type="dxa"/>
            <w:tcBorders>
              <w:top w:val="single" w:sz="8" w:space="0" w:color="auto"/>
              <w:left w:val="single" w:sz="8" w:space="0" w:color="auto"/>
              <w:bottom w:val="single" w:sz="8" w:space="0" w:color="auto"/>
              <w:right w:val="nil"/>
            </w:tcBorders>
            <w:shd w:val="clear" w:color="auto" w:fill="1F497D" w:themeFill="text2"/>
            <w:vAlign w:val="center"/>
            <w:hideMark/>
          </w:tcPr>
          <w:p w:rsidR="00CB16C0" w:rsidRPr="007C3FF5" w:rsidRDefault="00CB16C0" w:rsidP="00CB16C0">
            <w:pPr>
              <w:pStyle w:val="NoSpacing"/>
              <w:jc w:val="center"/>
              <w:rPr>
                <w:rFonts w:ascii="Times New Roman" w:hAnsi="Times New Roman" w:cs="Times New Roman"/>
                <w:b/>
                <w:color w:val="FFFFFF" w:themeColor="background1"/>
                <w:sz w:val="16"/>
                <w:szCs w:val="16"/>
                <w:lang w:eastAsia="en-GB" w:bidi="ar-SA"/>
              </w:rPr>
            </w:pPr>
            <w:r w:rsidRPr="007C3FF5">
              <w:rPr>
                <w:rFonts w:ascii="Times New Roman" w:hAnsi="Times New Roman" w:cs="Times New Roman"/>
                <w:b/>
                <w:color w:val="FFFFFF" w:themeColor="background1"/>
                <w:sz w:val="16"/>
                <w:szCs w:val="16"/>
                <w:lang w:eastAsia="en-GB" w:bidi="ar-SA"/>
              </w:rPr>
              <w:t>Compensation of Employees</w:t>
            </w:r>
          </w:p>
        </w:tc>
        <w:tc>
          <w:tcPr>
            <w:tcW w:w="915" w:type="dxa"/>
            <w:tcBorders>
              <w:top w:val="single" w:sz="8" w:space="0" w:color="auto"/>
              <w:left w:val="nil"/>
              <w:bottom w:val="single" w:sz="8" w:space="0" w:color="auto"/>
              <w:right w:val="nil"/>
            </w:tcBorders>
            <w:shd w:val="clear" w:color="auto" w:fill="1F497D" w:themeFill="text2"/>
            <w:vAlign w:val="center"/>
            <w:hideMark/>
          </w:tcPr>
          <w:p w:rsidR="00CB16C0" w:rsidRPr="007C3FF5" w:rsidRDefault="00CB16C0" w:rsidP="00CB16C0">
            <w:pPr>
              <w:pStyle w:val="NoSpacing"/>
              <w:jc w:val="center"/>
              <w:rPr>
                <w:rFonts w:ascii="Times New Roman" w:hAnsi="Times New Roman" w:cs="Times New Roman"/>
                <w:b/>
                <w:color w:val="FFFFFF" w:themeColor="background1"/>
                <w:sz w:val="16"/>
                <w:szCs w:val="16"/>
                <w:lang w:eastAsia="en-GB" w:bidi="ar-SA"/>
              </w:rPr>
            </w:pPr>
            <w:r w:rsidRPr="007C3FF5">
              <w:rPr>
                <w:rFonts w:ascii="Times New Roman" w:hAnsi="Times New Roman" w:cs="Times New Roman"/>
                <w:b/>
                <w:color w:val="FFFFFF" w:themeColor="background1"/>
                <w:sz w:val="16"/>
                <w:szCs w:val="16"/>
                <w:lang w:eastAsia="en-GB" w:bidi="ar-SA"/>
              </w:rPr>
              <w:t>Mixed Income</w:t>
            </w:r>
          </w:p>
        </w:tc>
        <w:tc>
          <w:tcPr>
            <w:tcW w:w="1052" w:type="dxa"/>
            <w:tcBorders>
              <w:top w:val="single" w:sz="8" w:space="0" w:color="auto"/>
              <w:left w:val="nil"/>
              <w:bottom w:val="single" w:sz="8" w:space="0" w:color="auto"/>
              <w:right w:val="nil"/>
            </w:tcBorders>
            <w:shd w:val="clear" w:color="auto" w:fill="1F497D" w:themeFill="text2"/>
            <w:vAlign w:val="center"/>
            <w:hideMark/>
          </w:tcPr>
          <w:p w:rsidR="00CB16C0" w:rsidRPr="007C3FF5" w:rsidRDefault="00CB16C0" w:rsidP="00CB16C0">
            <w:pPr>
              <w:pStyle w:val="NoSpacing"/>
              <w:jc w:val="center"/>
              <w:rPr>
                <w:rFonts w:ascii="Times New Roman" w:hAnsi="Times New Roman" w:cs="Times New Roman"/>
                <w:b/>
                <w:color w:val="FFFFFF" w:themeColor="background1"/>
                <w:sz w:val="16"/>
                <w:szCs w:val="16"/>
                <w:lang w:eastAsia="en-GB" w:bidi="ar-SA"/>
              </w:rPr>
            </w:pPr>
            <w:r w:rsidRPr="007C3FF5">
              <w:rPr>
                <w:rFonts w:ascii="Times New Roman" w:hAnsi="Times New Roman" w:cs="Times New Roman"/>
                <w:b/>
                <w:color w:val="FFFFFF" w:themeColor="background1"/>
                <w:sz w:val="16"/>
                <w:szCs w:val="16"/>
                <w:lang w:eastAsia="en-GB" w:bidi="ar-SA"/>
              </w:rPr>
              <w:t>Gross operating surplus</w:t>
            </w:r>
          </w:p>
        </w:tc>
        <w:tc>
          <w:tcPr>
            <w:tcW w:w="1052" w:type="dxa"/>
            <w:tcBorders>
              <w:top w:val="single" w:sz="8" w:space="0" w:color="auto"/>
              <w:left w:val="nil"/>
              <w:bottom w:val="single" w:sz="8" w:space="0" w:color="auto"/>
              <w:right w:val="nil"/>
            </w:tcBorders>
            <w:shd w:val="clear" w:color="auto" w:fill="1F497D" w:themeFill="text2"/>
            <w:vAlign w:val="center"/>
            <w:hideMark/>
          </w:tcPr>
          <w:p w:rsidR="00CB16C0" w:rsidRPr="007C3FF5" w:rsidRDefault="00CB16C0" w:rsidP="00CB16C0">
            <w:pPr>
              <w:pStyle w:val="NoSpacing"/>
              <w:jc w:val="center"/>
              <w:rPr>
                <w:rFonts w:ascii="Times New Roman" w:hAnsi="Times New Roman" w:cs="Times New Roman"/>
                <w:b/>
                <w:color w:val="FFFFFF" w:themeColor="background1"/>
                <w:sz w:val="16"/>
                <w:szCs w:val="16"/>
                <w:lang w:eastAsia="en-GB" w:bidi="ar-SA"/>
              </w:rPr>
            </w:pPr>
            <w:r w:rsidRPr="007C3FF5">
              <w:rPr>
                <w:rFonts w:ascii="Times New Roman" w:hAnsi="Times New Roman" w:cs="Times New Roman"/>
                <w:b/>
                <w:color w:val="FFFFFF" w:themeColor="background1"/>
                <w:sz w:val="16"/>
                <w:szCs w:val="16"/>
                <w:lang w:eastAsia="en-GB" w:bidi="ar-SA"/>
              </w:rPr>
              <w:t>Taxes less subsidies on production</w:t>
            </w:r>
          </w:p>
        </w:tc>
        <w:tc>
          <w:tcPr>
            <w:tcW w:w="1052" w:type="dxa"/>
            <w:tcBorders>
              <w:top w:val="single" w:sz="8" w:space="0" w:color="auto"/>
              <w:left w:val="nil"/>
              <w:bottom w:val="single" w:sz="8" w:space="0" w:color="auto"/>
              <w:right w:val="single" w:sz="8" w:space="0" w:color="auto"/>
            </w:tcBorders>
            <w:shd w:val="clear" w:color="auto" w:fill="1F497D" w:themeFill="text2"/>
            <w:vAlign w:val="center"/>
            <w:hideMark/>
          </w:tcPr>
          <w:p w:rsidR="00CB16C0" w:rsidRPr="007C3FF5" w:rsidRDefault="00CB16C0" w:rsidP="00CB16C0">
            <w:pPr>
              <w:pStyle w:val="NoSpacing"/>
              <w:jc w:val="center"/>
              <w:rPr>
                <w:rFonts w:ascii="Times New Roman" w:hAnsi="Times New Roman" w:cs="Times New Roman"/>
                <w:b/>
                <w:color w:val="FFFFFF" w:themeColor="background1"/>
                <w:sz w:val="16"/>
                <w:szCs w:val="16"/>
                <w:lang w:eastAsia="en-GB" w:bidi="ar-SA"/>
              </w:rPr>
            </w:pPr>
            <w:r w:rsidRPr="007C3FF5">
              <w:rPr>
                <w:rFonts w:ascii="Times New Roman" w:hAnsi="Times New Roman" w:cs="Times New Roman"/>
                <w:b/>
                <w:color w:val="FFFFFF" w:themeColor="background1"/>
                <w:sz w:val="16"/>
                <w:szCs w:val="16"/>
                <w:lang w:eastAsia="en-GB" w:bidi="ar-SA"/>
              </w:rPr>
              <w:t>Gross value added</w:t>
            </w:r>
          </w:p>
        </w:tc>
      </w:tr>
      <w:tr w:rsidR="008679A6" w:rsidRPr="007C3FF5" w:rsidTr="00A3382C">
        <w:trPr>
          <w:trHeight w:val="255"/>
        </w:trPr>
        <w:tc>
          <w:tcPr>
            <w:tcW w:w="394" w:type="dxa"/>
            <w:tcBorders>
              <w:top w:val="single" w:sz="8" w:space="0" w:color="auto"/>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A </w:t>
            </w:r>
          </w:p>
        </w:tc>
        <w:tc>
          <w:tcPr>
            <w:tcW w:w="4000" w:type="dxa"/>
            <w:tcBorders>
              <w:top w:val="single" w:sz="8" w:space="0" w:color="auto"/>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Agriculture, forestry and fishing</w:t>
            </w:r>
          </w:p>
        </w:tc>
        <w:tc>
          <w:tcPr>
            <w:tcW w:w="1418" w:type="dxa"/>
            <w:tcBorders>
              <w:top w:val="single" w:sz="8" w:space="0" w:color="auto"/>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115</w:t>
            </w:r>
          </w:p>
        </w:tc>
        <w:tc>
          <w:tcPr>
            <w:tcW w:w="915" w:type="dxa"/>
            <w:tcBorders>
              <w:top w:val="single" w:sz="8" w:space="0" w:color="auto"/>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106</w:t>
            </w:r>
          </w:p>
        </w:tc>
        <w:tc>
          <w:tcPr>
            <w:tcW w:w="1052" w:type="dxa"/>
            <w:tcBorders>
              <w:top w:val="single" w:sz="8" w:space="0" w:color="auto"/>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114</w:t>
            </w:r>
          </w:p>
        </w:tc>
        <w:tc>
          <w:tcPr>
            <w:tcW w:w="1052" w:type="dxa"/>
            <w:tcBorders>
              <w:top w:val="single" w:sz="8" w:space="0" w:color="auto"/>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w:t>
            </w:r>
          </w:p>
        </w:tc>
        <w:tc>
          <w:tcPr>
            <w:tcW w:w="1052" w:type="dxa"/>
            <w:tcBorders>
              <w:top w:val="single" w:sz="8" w:space="0" w:color="auto"/>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339</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B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Mining and quarrying</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26</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95</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6</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128</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C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Manufacturing</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2735</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106</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1448</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79</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4368</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D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Electricity, gas, steam and air conditioning supply</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74</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138</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40</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253</w:t>
            </w:r>
          </w:p>
        </w:tc>
      </w:tr>
      <w:tr w:rsidR="008679A6" w:rsidRPr="007C3FF5" w:rsidTr="00A3382C">
        <w:trPr>
          <w:trHeight w:val="450"/>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E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Water supply; sewerage, waste management and remediation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154</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197</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25</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381</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F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Construction</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1151</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455</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360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35</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2002</w:t>
            </w:r>
          </w:p>
        </w:tc>
      </w:tr>
      <w:tr w:rsidR="008679A6" w:rsidRPr="007C3FF5" w:rsidTr="00A3382C">
        <w:trPr>
          <w:trHeight w:val="450"/>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G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Wholesale and retail trade; repair of motor vehicles and motorcycles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2211</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411</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920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299</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3841</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H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Transportation and storage</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726</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93</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218</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49</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1086</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I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Accommodation and food service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519</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101</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174</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76</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871</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J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Information and communication</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525</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29</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260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43</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857</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K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Financial and insurance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573</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618</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13</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1254</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L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Real estate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73</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2174</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23</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2278</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M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Professional, scientific and technical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506</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257</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280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60</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1103</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N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Administrative and support service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566</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88</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219</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37</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910</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O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Public administration and </w:t>
            </w:r>
            <w:proofErr w:type="spellStart"/>
            <w:r w:rsidRPr="007C3FF5">
              <w:rPr>
                <w:rFonts w:ascii="Times New Roman" w:hAnsi="Times New Roman" w:cs="Times New Roman"/>
                <w:color w:val="000000"/>
                <w:sz w:val="16"/>
                <w:szCs w:val="16"/>
              </w:rPr>
              <w:t>defence</w:t>
            </w:r>
            <w:proofErr w:type="spellEnd"/>
            <w:r w:rsidRPr="007C3FF5">
              <w:rPr>
                <w:rFonts w:ascii="Times New Roman" w:hAnsi="Times New Roman" w:cs="Times New Roman"/>
                <w:color w:val="000000"/>
                <w:sz w:val="16"/>
                <w:szCs w:val="16"/>
              </w:rPr>
              <w:t>; compulsory social security</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2095</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804</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0</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2899</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P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Education</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2327</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24</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52</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2411</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Q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Human health and social work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2441</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270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344</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3063</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R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Arts, entertainment and recreation</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278</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19</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83</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26</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406</w:t>
            </w:r>
          </w:p>
        </w:tc>
      </w:tr>
      <w:tr w:rsidR="008679A6" w:rsidRPr="007C3FF5" w:rsidTr="00A3382C">
        <w:trPr>
          <w:trHeight w:val="255"/>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S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Other service activities</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191</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71</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85</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12</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360</w:t>
            </w:r>
          </w:p>
        </w:tc>
      </w:tr>
      <w:tr w:rsidR="008679A6" w:rsidRPr="007C3FF5" w:rsidTr="00A3382C">
        <w:trPr>
          <w:trHeight w:val="450"/>
        </w:trPr>
        <w:tc>
          <w:tcPr>
            <w:tcW w:w="394"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xml:space="preserve">T </w:t>
            </w:r>
          </w:p>
        </w:tc>
        <w:tc>
          <w:tcPr>
            <w:tcW w:w="4000" w:type="dxa"/>
            <w:tcBorders>
              <w:top w:val="nil"/>
              <w:left w:val="nil"/>
              <w:bottom w:val="nil"/>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Activities of households as employers; undifferentiated goods-and services-producing activities of households for own use</w:t>
            </w:r>
          </w:p>
        </w:tc>
        <w:tc>
          <w:tcPr>
            <w:tcW w:w="1418" w:type="dxa"/>
            <w:tcBorders>
              <w:top w:val="nil"/>
              <w:left w:val="single" w:sz="8" w:space="0" w:color="auto"/>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51</w:t>
            </w:r>
          </w:p>
        </w:tc>
        <w:tc>
          <w:tcPr>
            <w:tcW w:w="915"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10</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1</w:t>
            </w:r>
          </w:p>
        </w:tc>
        <w:tc>
          <w:tcPr>
            <w:tcW w:w="1052" w:type="dxa"/>
            <w:tcBorders>
              <w:top w:val="nil"/>
              <w:left w:val="nil"/>
              <w:bottom w:val="nil"/>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0</w:t>
            </w:r>
          </w:p>
        </w:tc>
        <w:tc>
          <w:tcPr>
            <w:tcW w:w="1052" w:type="dxa"/>
            <w:tcBorders>
              <w:top w:val="nil"/>
              <w:left w:val="nil"/>
              <w:bottom w:val="nil"/>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color w:val="000000"/>
                <w:sz w:val="16"/>
                <w:szCs w:val="16"/>
              </w:rPr>
            </w:pPr>
            <w:r w:rsidRPr="007C3FF5">
              <w:rPr>
                <w:rFonts w:ascii="Times New Roman" w:hAnsi="Times New Roman" w:cs="Times New Roman"/>
                <w:color w:val="000000"/>
                <w:sz w:val="16"/>
                <w:szCs w:val="16"/>
              </w:rPr>
              <w:t>62</w:t>
            </w:r>
          </w:p>
        </w:tc>
      </w:tr>
      <w:tr w:rsidR="008679A6" w:rsidRPr="007C3FF5" w:rsidTr="00A3382C">
        <w:trPr>
          <w:trHeight w:val="270"/>
        </w:trPr>
        <w:tc>
          <w:tcPr>
            <w:tcW w:w="394" w:type="dxa"/>
            <w:tcBorders>
              <w:top w:val="nil"/>
              <w:left w:val="single" w:sz="8" w:space="0" w:color="auto"/>
              <w:bottom w:val="single" w:sz="8" w:space="0" w:color="auto"/>
              <w:right w:val="nil"/>
            </w:tcBorders>
            <w:shd w:val="clear" w:color="auto" w:fill="auto"/>
            <w:noWrap/>
            <w:hideMark/>
          </w:tcPr>
          <w:p w:rsidR="008679A6" w:rsidRPr="007C3FF5" w:rsidRDefault="008679A6" w:rsidP="00A3382C">
            <w:pPr>
              <w:pStyle w:val="NoSpacing"/>
              <w:spacing w:line="276" w:lineRule="auto"/>
              <w:jc w:val="both"/>
              <w:rPr>
                <w:rFonts w:ascii="Times New Roman" w:hAnsi="Times New Roman" w:cs="Times New Roman"/>
                <w:color w:val="000000"/>
                <w:sz w:val="16"/>
                <w:szCs w:val="16"/>
              </w:rPr>
            </w:pPr>
            <w:r w:rsidRPr="007C3FF5">
              <w:rPr>
                <w:rFonts w:ascii="Times New Roman" w:hAnsi="Times New Roman" w:cs="Times New Roman"/>
                <w:color w:val="000000"/>
                <w:sz w:val="16"/>
                <w:szCs w:val="16"/>
              </w:rPr>
              <w:t> </w:t>
            </w:r>
          </w:p>
        </w:tc>
        <w:tc>
          <w:tcPr>
            <w:tcW w:w="4000" w:type="dxa"/>
            <w:tcBorders>
              <w:top w:val="nil"/>
              <w:left w:val="nil"/>
              <w:bottom w:val="single" w:sz="8" w:space="0" w:color="auto"/>
              <w:right w:val="nil"/>
            </w:tcBorders>
            <w:shd w:val="clear" w:color="auto" w:fill="auto"/>
            <w:hideMark/>
          </w:tcPr>
          <w:p w:rsidR="008679A6" w:rsidRPr="007C3FF5" w:rsidRDefault="008679A6" w:rsidP="00A3382C">
            <w:pPr>
              <w:pStyle w:val="NoSpacing"/>
              <w:spacing w:line="276" w:lineRule="auto"/>
              <w:jc w:val="both"/>
              <w:rPr>
                <w:rFonts w:ascii="Times New Roman" w:hAnsi="Times New Roman" w:cs="Times New Roman"/>
                <w:b/>
                <w:color w:val="000000"/>
                <w:sz w:val="16"/>
                <w:szCs w:val="16"/>
              </w:rPr>
            </w:pPr>
            <w:r w:rsidRPr="007C3FF5">
              <w:rPr>
                <w:rFonts w:ascii="Times New Roman" w:hAnsi="Times New Roman" w:cs="Times New Roman"/>
                <w:b/>
                <w:color w:val="000000"/>
                <w:sz w:val="16"/>
                <w:szCs w:val="16"/>
              </w:rPr>
              <w:t>All industries</w:t>
            </w:r>
          </w:p>
        </w:tc>
        <w:tc>
          <w:tcPr>
            <w:tcW w:w="1418" w:type="dxa"/>
            <w:tcBorders>
              <w:top w:val="nil"/>
              <w:left w:val="single" w:sz="8" w:space="0" w:color="auto"/>
              <w:bottom w:val="single" w:sz="8" w:space="0" w:color="auto"/>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b/>
                <w:color w:val="000000"/>
                <w:sz w:val="16"/>
                <w:szCs w:val="16"/>
              </w:rPr>
            </w:pPr>
            <w:r w:rsidRPr="007C3FF5">
              <w:rPr>
                <w:rFonts w:ascii="Times New Roman" w:hAnsi="Times New Roman" w:cs="Times New Roman"/>
                <w:b/>
                <w:color w:val="000000"/>
                <w:sz w:val="16"/>
                <w:szCs w:val="16"/>
              </w:rPr>
              <w:t>17337</w:t>
            </w:r>
          </w:p>
        </w:tc>
        <w:tc>
          <w:tcPr>
            <w:tcW w:w="915" w:type="dxa"/>
            <w:tcBorders>
              <w:top w:val="nil"/>
              <w:left w:val="nil"/>
              <w:bottom w:val="single" w:sz="8" w:space="0" w:color="auto"/>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b/>
                <w:color w:val="000000"/>
                <w:sz w:val="16"/>
                <w:szCs w:val="16"/>
              </w:rPr>
            </w:pPr>
            <w:r w:rsidRPr="007C3FF5">
              <w:rPr>
                <w:rFonts w:ascii="Times New Roman" w:hAnsi="Times New Roman" w:cs="Times New Roman"/>
                <w:b/>
                <w:color w:val="000000"/>
                <w:sz w:val="16"/>
                <w:szCs w:val="16"/>
              </w:rPr>
              <w:t>2103</w:t>
            </w:r>
          </w:p>
        </w:tc>
        <w:tc>
          <w:tcPr>
            <w:tcW w:w="1052" w:type="dxa"/>
            <w:tcBorders>
              <w:top w:val="nil"/>
              <w:left w:val="nil"/>
              <w:bottom w:val="single" w:sz="8" w:space="0" w:color="auto"/>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b/>
                <w:color w:val="000000"/>
                <w:sz w:val="16"/>
                <w:szCs w:val="16"/>
              </w:rPr>
            </w:pPr>
            <w:r w:rsidRPr="007C3FF5">
              <w:rPr>
                <w:rFonts w:ascii="Times New Roman" w:hAnsi="Times New Roman" w:cs="Times New Roman"/>
                <w:b/>
                <w:color w:val="000000"/>
                <w:sz w:val="16"/>
                <w:szCs w:val="16"/>
              </w:rPr>
              <w:t>8586</w:t>
            </w:r>
          </w:p>
        </w:tc>
        <w:tc>
          <w:tcPr>
            <w:tcW w:w="1052" w:type="dxa"/>
            <w:tcBorders>
              <w:top w:val="nil"/>
              <w:left w:val="nil"/>
              <w:bottom w:val="single" w:sz="8" w:space="0" w:color="auto"/>
              <w:right w:val="nil"/>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b/>
                <w:color w:val="000000"/>
                <w:sz w:val="16"/>
                <w:szCs w:val="16"/>
              </w:rPr>
            </w:pPr>
            <w:r w:rsidRPr="007C3FF5">
              <w:rPr>
                <w:rFonts w:ascii="Times New Roman" w:hAnsi="Times New Roman" w:cs="Times New Roman"/>
                <w:b/>
                <w:color w:val="000000"/>
                <w:sz w:val="16"/>
                <w:szCs w:val="16"/>
              </w:rPr>
              <w:t>844</w:t>
            </w:r>
          </w:p>
        </w:tc>
        <w:tc>
          <w:tcPr>
            <w:tcW w:w="1052" w:type="dxa"/>
            <w:tcBorders>
              <w:top w:val="nil"/>
              <w:left w:val="nil"/>
              <w:bottom w:val="single" w:sz="8" w:space="0" w:color="auto"/>
              <w:right w:val="single" w:sz="8" w:space="0" w:color="auto"/>
            </w:tcBorders>
            <w:shd w:val="clear" w:color="auto" w:fill="auto"/>
            <w:noWrap/>
            <w:hideMark/>
          </w:tcPr>
          <w:p w:rsidR="008679A6" w:rsidRPr="007C3FF5" w:rsidRDefault="008679A6" w:rsidP="00A3382C">
            <w:pPr>
              <w:pStyle w:val="NoSpacing"/>
              <w:spacing w:line="276" w:lineRule="auto"/>
              <w:jc w:val="right"/>
              <w:rPr>
                <w:rFonts w:ascii="Times New Roman" w:hAnsi="Times New Roman" w:cs="Times New Roman"/>
                <w:b/>
                <w:color w:val="000000"/>
                <w:sz w:val="16"/>
                <w:szCs w:val="16"/>
              </w:rPr>
            </w:pPr>
            <w:r w:rsidRPr="007C3FF5">
              <w:rPr>
                <w:rFonts w:ascii="Times New Roman" w:hAnsi="Times New Roman" w:cs="Times New Roman"/>
                <w:b/>
                <w:color w:val="000000"/>
                <w:sz w:val="16"/>
                <w:szCs w:val="16"/>
              </w:rPr>
              <w:t>28871</w:t>
            </w:r>
          </w:p>
        </w:tc>
      </w:tr>
    </w:tbl>
    <w:p w:rsidR="008679A6" w:rsidRPr="007C3FF5" w:rsidRDefault="00A3382C" w:rsidP="00A3382C">
      <w:pPr>
        <w:pStyle w:val="NoSpacing"/>
        <w:spacing w:line="276" w:lineRule="auto"/>
        <w:ind w:left="426"/>
        <w:jc w:val="both"/>
        <w:rPr>
          <w:rFonts w:ascii="Times New Roman" w:hAnsi="Times New Roman"/>
          <w:color w:val="000000"/>
          <w:sz w:val="20"/>
          <w:szCs w:val="20"/>
        </w:rPr>
      </w:pPr>
      <w:r w:rsidRPr="007C3FF5">
        <w:rPr>
          <w:rFonts w:ascii="Times New Roman" w:hAnsi="Times New Roman"/>
          <w:color w:val="000000"/>
          <w:sz w:val="20"/>
          <w:szCs w:val="20"/>
        </w:rPr>
        <w:t>Source: ONS</w:t>
      </w:r>
    </w:p>
    <w:p w:rsidR="00A3382C" w:rsidRPr="007C3FF5" w:rsidRDefault="00A3382C" w:rsidP="00A3382C">
      <w:pPr>
        <w:pStyle w:val="NoSpacing"/>
        <w:spacing w:line="276" w:lineRule="auto"/>
        <w:ind w:left="426"/>
        <w:jc w:val="both"/>
        <w:rPr>
          <w:rFonts w:ascii="Times New Roman" w:hAnsi="Times New Roman"/>
          <w:color w:val="000000"/>
        </w:rPr>
      </w:pPr>
    </w:p>
    <w:p w:rsidR="00A3382C" w:rsidRPr="007C3FF5" w:rsidRDefault="00E859BD"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basic approach taken was to construct </w:t>
      </w:r>
      <w:r w:rsidR="00A3382C" w:rsidRPr="007C3FF5">
        <w:rPr>
          <w:rFonts w:ascii="Times New Roman" w:hAnsi="Times New Roman"/>
          <w:color w:val="000000"/>
        </w:rPr>
        <w:t xml:space="preserve">the </w:t>
      </w:r>
      <w:r w:rsidRPr="007C3FF5">
        <w:rPr>
          <w:rFonts w:ascii="Times New Roman" w:hAnsi="Times New Roman"/>
          <w:color w:val="000000"/>
        </w:rPr>
        <w:t>NI SUT at the same level of detail as the UK SUT i</w:t>
      </w:r>
      <w:r w:rsidR="00A3382C" w:rsidRPr="007C3FF5">
        <w:rPr>
          <w:rFonts w:ascii="Times New Roman" w:hAnsi="Times New Roman"/>
          <w:color w:val="000000"/>
        </w:rPr>
        <w:t>.</w:t>
      </w:r>
      <w:r w:rsidRPr="007C3FF5">
        <w:rPr>
          <w:rFonts w:ascii="Times New Roman" w:hAnsi="Times New Roman"/>
          <w:color w:val="000000"/>
        </w:rPr>
        <w:t>e</w:t>
      </w:r>
      <w:r w:rsidR="00A3382C" w:rsidRPr="007C3FF5">
        <w:rPr>
          <w:rFonts w:ascii="Times New Roman" w:hAnsi="Times New Roman"/>
          <w:color w:val="000000"/>
        </w:rPr>
        <w:t>.</w:t>
      </w:r>
      <w:r w:rsidRPr="007C3FF5">
        <w:rPr>
          <w:rFonts w:ascii="Times New Roman" w:hAnsi="Times New Roman"/>
          <w:color w:val="000000"/>
        </w:rPr>
        <w:t xml:space="preserve"> a 110 x </w:t>
      </w:r>
      <w:r w:rsidR="00A3382C" w:rsidRPr="007C3FF5">
        <w:rPr>
          <w:rFonts w:ascii="Times New Roman" w:hAnsi="Times New Roman"/>
          <w:color w:val="000000"/>
        </w:rPr>
        <w:t>110 industry by product matrix,</w:t>
      </w:r>
      <w:r w:rsidRPr="007C3FF5">
        <w:rPr>
          <w:rFonts w:ascii="Times New Roman" w:hAnsi="Times New Roman"/>
          <w:color w:val="000000"/>
        </w:rPr>
        <w:t xml:space="preserve"> in order to make apportionment easier.  However, in general, the data are not accurate to this level </w:t>
      </w:r>
      <w:r w:rsidR="00371B9A" w:rsidRPr="007C3FF5">
        <w:rPr>
          <w:rFonts w:ascii="Times New Roman" w:hAnsi="Times New Roman"/>
          <w:color w:val="000000"/>
        </w:rPr>
        <w:t xml:space="preserve">of </w:t>
      </w:r>
      <w:r w:rsidRPr="007C3FF5">
        <w:rPr>
          <w:rFonts w:ascii="Times New Roman" w:hAnsi="Times New Roman"/>
          <w:color w:val="000000"/>
        </w:rPr>
        <w:t xml:space="preserve">detail; and there are data confidentiality issues. </w:t>
      </w:r>
    </w:p>
    <w:p w:rsidR="00A3382C" w:rsidRPr="007C3FF5" w:rsidRDefault="00A3382C" w:rsidP="00A3382C">
      <w:pPr>
        <w:pStyle w:val="NoSpacing"/>
        <w:spacing w:line="276" w:lineRule="auto"/>
        <w:ind w:left="426"/>
        <w:jc w:val="both"/>
        <w:rPr>
          <w:rFonts w:ascii="Times New Roman" w:hAnsi="Times New Roman"/>
          <w:color w:val="000000"/>
        </w:rPr>
      </w:pPr>
    </w:p>
    <w:p w:rsidR="00E73E15" w:rsidRPr="007C3FF5" w:rsidRDefault="00E73E15" w:rsidP="00A3382C">
      <w:pPr>
        <w:pStyle w:val="Heading2"/>
        <w:ind w:left="426"/>
        <w:rPr>
          <w:rFonts w:ascii="Times New Roman" w:hAnsi="Times New Roman" w:cs="Times New Roman"/>
          <w:lang w:bidi="ar-SA"/>
        </w:rPr>
      </w:pPr>
      <w:bookmarkStart w:id="26" w:name="_Toc383010492"/>
      <w:r w:rsidRPr="007C3FF5">
        <w:rPr>
          <w:rFonts w:ascii="Times New Roman" w:hAnsi="Times New Roman" w:cs="Times New Roman"/>
          <w:lang w:bidi="ar-SA"/>
        </w:rPr>
        <w:t>Main data sources</w:t>
      </w:r>
      <w:bookmarkEnd w:id="26"/>
    </w:p>
    <w:p w:rsidR="00A3382C" w:rsidRPr="007C3FF5" w:rsidRDefault="00A3382C" w:rsidP="00A3382C">
      <w:pPr>
        <w:pStyle w:val="NoSpacing"/>
        <w:spacing w:line="276" w:lineRule="auto"/>
        <w:ind w:left="426"/>
        <w:jc w:val="both"/>
        <w:rPr>
          <w:rFonts w:ascii="Times New Roman" w:hAnsi="Times New Roman"/>
          <w:color w:val="000000"/>
        </w:rPr>
      </w:pPr>
    </w:p>
    <w:p w:rsidR="00E73E15" w:rsidRPr="007C3FF5" w:rsidRDefault="00E73E15"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main data source used in the construction of the Supply Table </w:t>
      </w:r>
      <w:r w:rsidR="00A3382C" w:rsidRPr="007C3FF5">
        <w:rPr>
          <w:rFonts w:ascii="Times New Roman" w:hAnsi="Times New Roman"/>
          <w:color w:val="000000"/>
        </w:rPr>
        <w:t xml:space="preserve">for Northern Ireland </w:t>
      </w:r>
      <w:r w:rsidRPr="007C3FF5">
        <w:rPr>
          <w:rFonts w:ascii="Times New Roman" w:hAnsi="Times New Roman"/>
          <w:color w:val="000000"/>
        </w:rPr>
        <w:t xml:space="preserve">is the NI Annual Business Inquiry (ABI).  This survey covers most industries but does not cover: </w:t>
      </w:r>
    </w:p>
    <w:p w:rsidR="00A3382C" w:rsidRPr="007C3FF5" w:rsidRDefault="00A3382C" w:rsidP="00A3382C">
      <w:pPr>
        <w:pStyle w:val="NoSpacing"/>
        <w:spacing w:line="276" w:lineRule="auto"/>
        <w:ind w:left="426"/>
        <w:jc w:val="both"/>
        <w:rPr>
          <w:rFonts w:ascii="Times New Roman" w:hAnsi="Times New Roman"/>
          <w:color w:val="000000"/>
        </w:rPr>
      </w:pP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Most </w:t>
      </w:r>
      <w:r w:rsidR="00E73E15" w:rsidRPr="007C3FF5">
        <w:rPr>
          <w:rFonts w:ascii="Times New Roman" w:hAnsi="Times New Roman"/>
        </w:rPr>
        <w:t xml:space="preserve">of agriculture, SIC industry 01.  The primary source for this industry was the annual survey of agricultural businesses conducted by DARD; </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Imputed </w:t>
      </w:r>
      <w:r w:rsidR="00E73E15" w:rsidRPr="007C3FF5">
        <w:rPr>
          <w:rFonts w:ascii="Times New Roman" w:hAnsi="Times New Roman"/>
        </w:rPr>
        <w:t xml:space="preserve">rents which is the rental value that owner-occupiers would have to pay, were they renting their own home; </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Financial </w:t>
      </w:r>
      <w:r w:rsidR="00E73E15" w:rsidRPr="007C3FF5">
        <w:rPr>
          <w:rFonts w:ascii="Times New Roman" w:hAnsi="Times New Roman"/>
        </w:rPr>
        <w:t>services, including Financial Intermediation Services Indirectly Measured – effectively, the difference between the interes</w:t>
      </w:r>
      <w:r w:rsidRPr="007C3FF5">
        <w:rPr>
          <w:rFonts w:ascii="Times New Roman" w:hAnsi="Times New Roman"/>
        </w:rPr>
        <w:t>t rate that is received on bank</w:t>
      </w:r>
      <w:r w:rsidR="00E73E15" w:rsidRPr="007C3FF5">
        <w:rPr>
          <w:rFonts w:ascii="Times New Roman" w:hAnsi="Times New Roman"/>
        </w:rPr>
        <w:t xml:space="preserve"> deposits compared with that paid on bank loans;</w:t>
      </w:r>
      <w:r w:rsidRPr="007C3FF5">
        <w:rPr>
          <w:rFonts w:ascii="Times New Roman" w:hAnsi="Times New Roman"/>
        </w:rPr>
        <w:t xml:space="preserve"> and</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Output </w:t>
      </w:r>
      <w:r w:rsidR="00E73E15" w:rsidRPr="007C3FF5">
        <w:rPr>
          <w:rFonts w:ascii="Times New Roman" w:hAnsi="Times New Roman"/>
        </w:rPr>
        <w:t>of government and non-profit making institution</w:t>
      </w:r>
      <w:r w:rsidRPr="007C3FF5">
        <w:rPr>
          <w:rFonts w:ascii="Times New Roman" w:hAnsi="Times New Roman"/>
        </w:rPr>
        <w:t xml:space="preserve">s serving households (NPISH).  </w:t>
      </w:r>
      <w:r w:rsidR="00E73E15" w:rsidRPr="007C3FF5">
        <w:rPr>
          <w:rFonts w:ascii="Times New Roman" w:hAnsi="Times New Roman"/>
        </w:rPr>
        <w:t>The latter mainly comprises charities, universities, and trade unions.</w:t>
      </w:r>
    </w:p>
    <w:p w:rsidR="00A3382C" w:rsidRPr="007C3FF5" w:rsidRDefault="00A3382C" w:rsidP="00A3382C">
      <w:pPr>
        <w:pStyle w:val="NoSpacing"/>
        <w:spacing w:line="276" w:lineRule="auto"/>
        <w:ind w:left="426"/>
        <w:jc w:val="both"/>
        <w:rPr>
          <w:rFonts w:ascii="Times New Roman" w:hAnsi="Times New Roman"/>
          <w:color w:val="000000"/>
        </w:rPr>
      </w:pPr>
    </w:p>
    <w:p w:rsidR="00E73E15" w:rsidRPr="007C3FF5" w:rsidRDefault="00E73E15"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The following data items collected in the ABI were used in the compilation of the NI SUT:</w:t>
      </w:r>
    </w:p>
    <w:p w:rsidR="00A3382C" w:rsidRPr="007C3FF5" w:rsidRDefault="00A3382C" w:rsidP="00A3382C">
      <w:pPr>
        <w:pStyle w:val="NoSpacing"/>
        <w:spacing w:line="276" w:lineRule="auto"/>
        <w:ind w:left="426"/>
        <w:jc w:val="both"/>
        <w:rPr>
          <w:rFonts w:ascii="Times New Roman" w:hAnsi="Times New Roman"/>
          <w:color w:val="000000"/>
        </w:rPr>
      </w:pP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Turnover </w:t>
      </w:r>
      <w:r w:rsidR="00E73E15" w:rsidRPr="007C3FF5">
        <w:rPr>
          <w:rFonts w:ascii="Times New Roman" w:hAnsi="Times New Roman"/>
        </w:rPr>
        <w:t xml:space="preserve">– sales of own-produced goods and services, </w:t>
      </w:r>
      <w:proofErr w:type="spellStart"/>
      <w:r w:rsidR="00E73E15" w:rsidRPr="007C3FF5">
        <w:rPr>
          <w:rFonts w:ascii="Times New Roman" w:hAnsi="Times New Roman"/>
        </w:rPr>
        <w:t>resales</w:t>
      </w:r>
      <w:proofErr w:type="spellEnd"/>
      <w:r w:rsidRPr="007C3FF5">
        <w:rPr>
          <w:rFonts w:ascii="Times New Roman" w:hAnsi="Times New Roman"/>
        </w:rPr>
        <w:t>;</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Changes </w:t>
      </w:r>
      <w:r w:rsidR="00E73E15" w:rsidRPr="007C3FF5">
        <w:rPr>
          <w:rFonts w:ascii="Times New Roman" w:hAnsi="Times New Roman"/>
        </w:rPr>
        <w:t>in stocks</w:t>
      </w:r>
      <w:r w:rsidRPr="007C3FF5">
        <w:rPr>
          <w:rFonts w:ascii="Times New Roman" w:hAnsi="Times New Roman"/>
        </w:rPr>
        <w:t>;</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Subsidies </w:t>
      </w:r>
      <w:r w:rsidR="00E73E15" w:rsidRPr="007C3FF5">
        <w:rPr>
          <w:rFonts w:ascii="Times New Roman" w:hAnsi="Times New Roman"/>
        </w:rPr>
        <w:t>receivable</w:t>
      </w:r>
      <w:r w:rsidRPr="007C3FF5">
        <w:rPr>
          <w:rFonts w:ascii="Times New Roman" w:hAnsi="Times New Roman"/>
        </w:rPr>
        <w:t>;</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Employment </w:t>
      </w:r>
      <w:r w:rsidR="00E73E15" w:rsidRPr="007C3FF5">
        <w:rPr>
          <w:rFonts w:ascii="Times New Roman" w:hAnsi="Times New Roman"/>
        </w:rPr>
        <w:t>costs</w:t>
      </w:r>
      <w:r w:rsidRPr="007C3FF5">
        <w:rPr>
          <w:rFonts w:ascii="Times New Roman" w:hAnsi="Times New Roman"/>
        </w:rPr>
        <w:t>;</w:t>
      </w:r>
    </w:p>
    <w:p w:rsidR="00EA3A8A"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Purchases </w:t>
      </w:r>
      <w:r w:rsidR="00E73E15" w:rsidRPr="007C3FF5">
        <w:rPr>
          <w:rFonts w:ascii="Times New Roman" w:hAnsi="Times New Roman"/>
        </w:rPr>
        <w:t>of goods, materials, energy and services</w:t>
      </w:r>
      <w:r w:rsidRPr="007C3FF5">
        <w:rPr>
          <w:rFonts w:ascii="Times New Roman" w:hAnsi="Times New Roman"/>
        </w:rPr>
        <w:t>;</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Taxes </w:t>
      </w:r>
      <w:r w:rsidR="00E73E15" w:rsidRPr="007C3FF5">
        <w:rPr>
          <w:rFonts w:ascii="Times New Roman" w:hAnsi="Times New Roman"/>
        </w:rPr>
        <w:t>on production, including business rates and vehicle excise duty</w:t>
      </w:r>
      <w:r w:rsidRPr="007C3FF5">
        <w:rPr>
          <w:rFonts w:ascii="Times New Roman" w:hAnsi="Times New Roman"/>
        </w:rPr>
        <w:t xml:space="preserve">; and </w:t>
      </w:r>
    </w:p>
    <w:p w:rsidR="00E73E15" w:rsidRPr="007C3FF5" w:rsidRDefault="00A3382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Capital </w:t>
      </w:r>
      <w:r w:rsidR="00E73E15" w:rsidRPr="007C3FF5">
        <w:rPr>
          <w:rFonts w:ascii="Times New Roman" w:hAnsi="Times New Roman"/>
        </w:rPr>
        <w:t>expenditure: acquisitions, disposals, own account capital formation, but no breakdown by type of asset</w:t>
      </w:r>
    </w:p>
    <w:p w:rsidR="00A3382C" w:rsidRPr="007C3FF5" w:rsidRDefault="00A3382C" w:rsidP="00A3382C">
      <w:pPr>
        <w:pStyle w:val="NoSpacing"/>
        <w:spacing w:line="276" w:lineRule="auto"/>
        <w:ind w:left="426"/>
        <w:jc w:val="both"/>
        <w:rPr>
          <w:rFonts w:ascii="Times New Roman" w:hAnsi="Times New Roman"/>
          <w:color w:val="000000"/>
        </w:rPr>
      </w:pPr>
    </w:p>
    <w:p w:rsidR="00D15644" w:rsidRPr="007C3FF5" w:rsidRDefault="00E73E15"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Data for central government were mainly sourced from HM Treasury’s COINS/OSCAR public spending database, an administrative system mainly populated with data provided by gov</w:t>
      </w:r>
      <w:r w:rsidR="00A3382C" w:rsidRPr="007C3FF5">
        <w:rPr>
          <w:rFonts w:ascii="Times New Roman" w:hAnsi="Times New Roman"/>
          <w:color w:val="000000"/>
        </w:rPr>
        <w:t xml:space="preserve">ernment departments </w:t>
      </w:r>
      <w:r w:rsidR="00EA3A8A" w:rsidRPr="007C3FF5">
        <w:rPr>
          <w:rFonts w:ascii="Times New Roman" w:hAnsi="Times New Roman"/>
          <w:color w:val="000000"/>
        </w:rPr>
        <w:t>that is</w:t>
      </w:r>
      <w:r w:rsidRPr="007C3FF5">
        <w:rPr>
          <w:rFonts w:ascii="Times New Roman" w:hAnsi="Times New Roman"/>
          <w:color w:val="000000"/>
        </w:rPr>
        <w:t xml:space="preserve"> used to monitor public spending.</w:t>
      </w:r>
      <w:r w:rsidR="00D15644" w:rsidRPr="007C3FF5">
        <w:rPr>
          <w:rFonts w:ascii="Times New Roman" w:hAnsi="Times New Roman"/>
          <w:color w:val="000000"/>
        </w:rPr>
        <w:t xml:space="preserve">   Data are </w:t>
      </w:r>
      <w:r w:rsidRPr="007C3FF5">
        <w:rPr>
          <w:rFonts w:ascii="Times New Roman" w:hAnsi="Times New Roman"/>
          <w:color w:val="000000"/>
        </w:rPr>
        <w:t>classified according to COFOG (</w:t>
      </w:r>
      <w:r w:rsidR="007E221B" w:rsidRPr="007C3FF5">
        <w:rPr>
          <w:rFonts w:ascii="Times New Roman" w:hAnsi="Times New Roman"/>
          <w:color w:val="000000"/>
        </w:rPr>
        <w:t xml:space="preserve">the internationally </w:t>
      </w:r>
      <w:proofErr w:type="spellStart"/>
      <w:r w:rsidR="007E221B" w:rsidRPr="007C3FF5">
        <w:rPr>
          <w:rFonts w:ascii="Times New Roman" w:hAnsi="Times New Roman"/>
          <w:color w:val="000000"/>
        </w:rPr>
        <w:t>recognised</w:t>
      </w:r>
      <w:proofErr w:type="spellEnd"/>
      <w:r w:rsidR="007E221B" w:rsidRPr="007C3FF5">
        <w:rPr>
          <w:rFonts w:ascii="Times New Roman" w:hAnsi="Times New Roman"/>
          <w:color w:val="000000"/>
        </w:rPr>
        <w:t xml:space="preserve"> </w:t>
      </w:r>
      <w:r w:rsidRPr="007C3FF5">
        <w:rPr>
          <w:rFonts w:ascii="Times New Roman" w:hAnsi="Times New Roman"/>
          <w:color w:val="000000"/>
        </w:rPr>
        <w:t xml:space="preserve">classification of functions of government) which allowed a split by industry to be derived.  </w:t>
      </w:r>
    </w:p>
    <w:p w:rsidR="00D15644" w:rsidRPr="007C3FF5" w:rsidRDefault="00D15644" w:rsidP="00A3382C">
      <w:pPr>
        <w:pStyle w:val="NoSpacing"/>
        <w:spacing w:line="276" w:lineRule="auto"/>
        <w:ind w:left="426"/>
        <w:jc w:val="both"/>
        <w:rPr>
          <w:rFonts w:ascii="Times New Roman" w:hAnsi="Times New Roman"/>
          <w:color w:val="000000"/>
        </w:rPr>
      </w:pPr>
    </w:p>
    <w:p w:rsidR="00E73E15" w:rsidRPr="007C3FF5" w:rsidRDefault="00E73E15"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Total output for Local Government was available from returns submitted to </w:t>
      </w:r>
      <w:r w:rsidR="009407E3" w:rsidRPr="007C3FF5">
        <w:rPr>
          <w:rFonts w:ascii="Times New Roman" w:hAnsi="Times New Roman"/>
          <w:color w:val="000000"/>
        </w:rPr>
        <w:t>the Northern Ireland Department of the Environment</w:t>
      </w:r>
      <w:r w:rsidRPr="007C3FF5">
        <w:rPr>
          <w:rFonts w:ascii="Times New Roman" w:hAnsi="Times New Roman"/>
          <w:color w:val="000000"/>
        </w:rPr>
        <w:t xml:space="preserve">; these were also </w:t>
      </w:r>
      <w:proofErr w:type="spellStart"/>
      <w:r w:rsidRPr="007C3FF5">
        <w:rPr>
          <w:rFonts w:ascii="Times New Roman" w:hAnsi="Times New Roman"/>
          <w:color w:val="000000"/>
        </w:rPr>
        <w:t>categorised</w:t>
      </w:r>
      <w:proofErr w:type="spellEnd"/>
      <w:r w:rsidRPr="007C3FF5">
        <w:rPr>
          <w:rFonts w:ascii="Times New Roman" w:hAnsi="Times New Roman"/>
          <w:color w:val="000000"/>
        </w:rPr>
        <w:t xml:space="preserve"> by function and hence co</w:t>
      </w:r>
      <w:r w:rsidR="00D15644" w:rsidRPr="007C3FF5">
        <w:rPr>
          <w:rFonts w:ascii="Times New Roman" w:hAnsi="Times New Roman"/>
          <w:color w:val="000000"/>
        </w:rPr>
        <w:t>uld be classified by industry.</w:t>
      </w:r>
      <w:r w:rsidR="009407E3" w:rsidRPr="007C3FF5">
        <w:rPr>
          <w:rFonts w:ascii="Times New Roman" w:hAnsi="Times New Roman"/>
          <w:color w:val="000000"/>
        </w:rPr>
        <w:t xml:space="preserve">  Information was also </w:t>
      </w:r>
      <w:r w:rsidR="006114E1" w:rsidRPr="007C3FF5">
        <w:rPr>
          <w:rFonts w:ascii="Times New Roman" w:hAnsi="Times New Roman"/>
          <w:color w:val="000000"/>
        </w:rPr>
        <w:t>taken</w:t>
      </w:r>
      <w:r w:rsidR="009407E3" w:rsidRPr="007C3FF5">
        <w:rPr>
          <w:rFonts w:ascii="Times New Roman" w:hAnsi="Times New Roman"/>
          <w:color w:val="000000"/>
        </w:rPr>
        <w:t xml:space="preserve"> from the published annual accounts for each authority.</w:t>
      </w:r>
    </w:p>
    <w:p w:rsidR="00D15644" w:rsidRPr="007C3FF5" w:rsidRDefault="00D15644" w:rsidP="00A3382C">
      <w:pPr>
        <w:pStyle w:val="NoSpacing"/>
        <w:spacing w:line="276" w:lineRule="auto"/>
        <w:ind w:left="426"/>
        <w:jc w:val="both"/>
        <w:rPr>
          <w:rFonts w:ascii="Times New Roman" w:hAnsi="Times New Roman"/>
          <w:color w:val="000000"/>
        </w:rPr>
      </w:pPr>
    </w:p>
    <w:p w:rsidR="00D15644" w:rsidRPr="007C3FF5" w:rsidRDefault="00D15644"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Expenditure by househo</w:t>
      </w:r>
      <w:r w:rsidR="006114E1" w:rsidRPr="007C3FF5">
        <w:rPr>
          <w:rFonts w:ascii="Times New Roman" w:hAnsi="Times New Roman"/>
          <w:color w:val="000000"/>
        </w:rPr>
        <w:t>lds is mainly sourced from the L</w:t>
      </w:r>
      <w:r w:rsidRPr="007C3FF5">
        <w:rPr>
          <w:rFonts w:ascii="Times New Roman" w:hAnsi="Times New Roman"/>
          <w:color w:val="000000"/>
        </w:rPr>
        <w:t xml:space="preserve">iving </w:t>
      </w:r>
      <w:r w:rsidR="006114E1" w:rsidRPr="007C3FF5">
        <w:rPr>
          <w:rFonts w:ascii="Times New Roman" w:hAnsi="Times New Roman"/>
          <w:color w:val="000000"/>
        </w:rPr>
        <w:t>C</w:t>
      </w:r>
      <w:r w:rsidRPr="007C3FF5">
        <w:rPr>
          <w:rFonts w:ascii="Times New Roman" w:hAnsi="Times New Roman"/>
          <w:color w:val="000000"/>
        </w:rPr>
        <w:t xml:space="preserve">osts and </w:t>
      </w:r>
      <w:r w:rsidR="006114E1" w:rsidRPr="007C3FF5">
        <w:rPr>
          <w:rFonts w:ascii="Times New Roman" w:hAnsi="Times New Roman"/>
          <w:color w:val="000000"/>
        </w:rPr>
        <w:t>F</w:t>
      </w:r>
      <w:r w:rsidRPr="007C3FF5">
        <w:rPr>
          <w:rFonts w:ascii="Times New Roman" w:hAnsi="Times New Roman"/>
          <w:color w:val="000000"/>
        </w:rPr>
        <w:t>ood survey, from which a detailed breakdown of expenditure by product category is available, averaged over three years because regional/country sample sizes are relatively small.  This is supplemented with estimates for residents of communal establishments, such as university halls of residence or care homes.</w:t>
      </w:r>
      <w:r w:rsidR="009407E3" w:rsidRPr="007C3FF5">
        <w:rPr>
          <w:rFonts w:ascii="Times New Roman" w:hAnsi="Times New Roman"/>
          <w:color w:val="000000"/>
        </w:rPr>
        <w:t xml:space="preserve">  Tourist expenditure (both into and out of Northern Ireland) was based on published reports by Visit England and DETI</w:t>
      </w:r>
      <w:r w:rsidR="00C941FB" w:rsidRPr="007C3FF5">
        <w:rPr>
          <w:rFonts w:ascii="Times New Roman" w:hAnsi="Times New Roman"/>
          <w:color w:val="000000"/>
        </w:rPr>
        <w:t xml:space="preserve"> </w:t>
      </w:r>
      <w:r w:rsidR="009407E3" w:rsidRPr="007C3FF5">
        <w:rPr>
          <w:rFonts w:ascii="Times New Roman" w:hAnsi="Times New Roman"/>
          <w:color w:val="000000"/>
        </w:rPr>
        <w:t>NI, and special analyses from the International Passenger Survey.</w:t>
      </w:r>
    </w:p>
    <w:p w:rsidR="00D15644" w:rsidRPr="007C3FF5" w:rsidRDefault="00D15644" w:rsidP="00A3382C">
      <w:pPr>
        <w:pStyle w:val="NoSpacing"/>
        <w:spacing w:line="276" w:lineRule="auto"/>
        <w:ind w:left="426"/>
        <w:jc w:val="both"/>
        <w:rPr>
          <w:rFonts w:ascii="Times New Roman" w:hAnsi="Times New Roman"/>
          <w:color w:val="000000"/>
        </w:rPr>
      </w:pPr>
    </w:p>
    <w:p w:rsidR="00D15644" w:rsidRPr="007C3FF5" w:rsidRDefault="00D15644"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International trade in goods (imports and exports) is available from HMRC, broken down by Republic of Ireland, Rest of the EU and </w:t>
      </w:r>
      <w:r w:rsidR="007E221B" w:rsidRPr="007C3FF5">
        <w:rPr>
          <w:rFonts w:ascii="Times New Roman" w:hAnsi="Times New Roman"/>
          <w:color w:val="000000"/>
        </w:rPr>
        <w:t>Re</w:t>
      </w:r>
      <w:r w:rsidRPr="007C3FF5">
        <w:rPr>
          <w:rFonts w:ascii="Times New Roman" w:hAnsi="Times New Roman"/>
          <w:color w:val="000000"/>
        </w:rPr>
        <w:t xml:space="preserve">st of the </w:t>
      </w:r>
      <w:r w:rsidR="007E221B" w:rsidRPr="007C3FF5">
        <w:rPr>
          <w:rFonts w:ascii="Times New Roman" w:hAnsi="Times New Roman"/>
          <w:color w:val="000000"/>
        </w:rPr>
        <w:t>W</w:t>
      </w:r>
      <w:r w:rsidRPr="007C3FF5">
        <w:rPr>
          <w:rFonts w:ascii="Times New Roman" w:hAnsi="Times New Roman"/>
          <w:color w:val="000000"/>
        </w:rPr>
        <w:t xml:space="preserve">orld.  Further details of manufacturing exports, including the value of trade with Great Britain, is available from the </w:t>
      </w:r>
      <w:r w:rsidR="006114E1" w:rsidRPr="007C3FF5">
        <w:rPr>
          <w:rFonts w:ascii="Times New Roman" w:hAnsi="Times New Roman"/>
          <w:color w:val="000000"/>
        </w:rPr>
        <w:t xml:space="preserve">NI </w:t>
      </w:r>
      <w:r w:rsidRPr="007C3FF5">
        <w:rPr>
          <w:rFonts w:ascii="Times New Roman" w:hAnsi="Times New Roman"/>
          <w:color w:val="000000"/>
        </w:rPr>
        <w:t>Manufacturing Sales and Exports Survey.</w:t>
      </w:r>
    </w:p>
    <w:p w:rsidR="00EA3A8A" w:rsidRPr="007C3FF5" w:rsidRDefault="00EA3A8A" w:rsidP="00A3382C">
      <w:pPr>
        <w:pStyle w:val="NoSpacing"/>
        <w:spacing w:line="276" w:lineRule="auto"/>
        <w:ind w:left="426"/>
        <w:jc w:val="both"/>
        <w:rPr>
          <w:rFonts w:ascii="Times New Roman" w:hAnsi="Times New Roman"/>
          <w:color w:val="000000"/>
        </w:rPr>
      </w:pPr>
    </w:p>
    <w:p w:rsidR="00EA3A8A" w:rsidRPr="007C3FF5" w:rsidRDefault="00EA3A8A"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Data sources for non-profit making institutions serving households (NPISH) are limited. Published accounts for universities provide information for further education services, but there is little readily available for charities wh</w:t>
      </w:r>
      <w:r w:rsidR="00371B9A" w:rsidRPr="007C3FF5">
        <w:rPr>
          <w:rFonts w:ascii="Times New Roman" w:hAnsi="Times New Roman"/>
          <w:color w:val="000000"/>
        </w:rPr>
        <w:t>i</w:t>
      </w:r>
      <w:r w:rsidRPr="007C3FF5">
        <w:rPr>
          <w:rFonts w:ascii="Times New Roman" w:hAnsi="Times New Roman"/>
          <w:color w:val="000000"/>
        </w:rPr>
        <w:t>ch make up the largest part of this sector.</w:t>
      </w:r>
    </w:p>
    <w:p w:rsidR="00EA3A8A" w:rsidRPr="007C3FF5" w:rsidRDefault="00EA3A8A" w:rsidP="00A3382C">
      <w:pPr>
        <w:pStyle w:val="NoSpacing"/>
        <w:spacing w:line="276" w:lineRule="auto"/>
        <w:ind w:left="426"/>
        <w:jc w:val="both"/>
        <w:rPr>
          <w:rFonts w:ascii="Times New Roman" w:hAnsi="Times New Roman"/>
          <w:color w:val="000000"/>
        </w:rPr>
      </w:pPr>
    </w:p>
    <w:p w:rsidR="00EA3A8A" w:rsidRPr="007C3FF5" w:rsidRDefault="00EA3A8A" w:rsidP="00A3382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Some information on capital expenditure is available from sources listed above.  The NI Quarterly Construction Survey </w:t>
      </w:r>
      <w:r w:rsidR="00C941FB" w:rsidRPr="007C3FF5">
        <w:rPr>
          <w:rFonts w:ascii="Times New Roman" w:hAnsi="Times New Roman"/>
          <w:color w:val="000000"/>
        </w:rPr>
        <w:t xml:space="preserve">has also been used. </w:t>
      </w:r>
    </w:p>
    <w:p w:rsidR="00D15644" w:rsidRPr="007C3FF5" w:rsidRDefault="00D15644" w:rsidP="00A3382C">
      <w:pPr>
        <w:pStyle w:val="NoSpacing"/>
        <w:spacing w:line="276" w:lineRule="auto"/>
        <w:ind w:left="426"/>
        <w:jc w:val="both"/>
        <w:rPr>
          <w:rFonts w:ascii="Times New Roman" w:hAnsi="Times New Roman"/>
          <w:color w:val="000000"/>
        </w:rPr>
      </w:pPr>
    </w:p>
    <w:p w:rsidR="001C5A54" w:rsidRPr="007C3FF5" w:rsidRDefault="001C5A54" w:rsidP="00C941FB">
      <w:pPr>
        <w:pStyle w:val="Heading2"/>
        <w:ind w:left="426"/>
        <w:rPr>
          <w:rFonts w:ascii="Times New Roman" w:hAnsi="Times New Roman" w:cs="Times New Roman"/>
          <w:lang w:bidi="ar-SA"/>
        </w:rPr>
      </w:pPr>
      <w:bookmarkStart w:id="27" w:name="_Toc383010493"/>
      <w:r w:rsidRPr="007C3FF5">
        <w:rPr>
          <w:rFonts w:ascii="Times New Roman" w:hAnsi="Times New Roman" w:cs="Times New Roman"/>
          <w:lang w:bidi="ar-SA"/>
        </w:rPr>
        <w:t>Construction of the initial Supply Table</w:t>
      </w:r>
      <w:bookmarkEnd w:id="27"/>
      <w:r w:rsidRPr="007C3FF5">
        <w:rPr>
          <w:rFonts w:ascii="Times New Roman" w:hAnsi="Times New Roman" w:cs="Times New Roman"/>
          <w:lang w:bidi="ar-SA"/>
        </w:rPr>
        <w:t xml:space="preserve"> </w:t>
      </w:r>
    </w:p>
    <w:p w:rsidR="00C941FB" w:rsidRPr="007C3FF5" w:rsidRDefault="00C941FB" w:rsidP="00C941FB">
      <w:pPr>
        <w:pStyle w:val="NoSpacing"/>
        <w:spacing w:line="276" w:lineRule="auto"/>
        <w:ind w:left="426"/>
        <w:jc w:val="both"/>
        <w:rPr>
          <w:rFonts w:ascii="Times New Roman" w:hAnsi="Times New Roman"/>
          <w:color w:val="000000"/>
        </w:rPr>
      </w:pPr>
    </w:p>
    <w:p w:rsidR="00766354" w:rsidRPr="007C3FF5" w:rsidRDefault="001C5A54"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first stage of constructing a Supply Table is the generation of the domestic Supply </w:t>
      </w:r>
      <w:r w:rsidR="00C9061B" w:rsidRPr="007C3FF5">
        <w:rPr>
          <w:rFonts w:ascii="Times New Roman" w:hAnsi="Times New Roman"/>
          <w:color w:val="000000"/>
        </w:rPr>
        <w:t xml:space="preserve">matrix.  </w:t>
      </w:r>
      <w:r w:rsidRPr="007C3FF5">
        <w:rPr>
          <w:rFonts w:ascii="Times New Roman" w:hAnsi="Times New Roman"/>
          <w:color w:val="000000"/>
        </w:rPr>
        <w:t>This shows the mix of produc</w:t>
      </w:r>
      <w:r w:rsidR="00CC3A15" w:rsidRPr="007C3FF5">
        <w:rPr>
          <w:rFonts w:ascii="Times New Roman" w:hAnsi="Times New Roman"/>
          <w:color w:val="000000"/>
        </w:rPr>
        <w:t>ts produced by each industry (i</w:t>
      </w:r>
      <w:r w:rsidR="00C941FB" w:rsidRPr="007C3FF5">
        <w:rPr>
          <w:rFonts w:ascii="Times New Roman" w:hAnsi="Times New Roman"/>
          <w:color w:val="000000"/>
        </w:rPr>
        <w:t>.</w:t>
      </w:r>
      <w:r w:rsidR="00CC3A15" w:rsidRPr="007C3FF5">
        <w:rPr>
          <w:rFonts w:ascii="Times New Roman" w:hAnsi="Times New Roman"/>
          <w:color w:val="000000"/>
        </w:rPr>
        <w:t>e</w:t>
      </w:r>
      <w:r w:rsidR="00C941FB" w:rsidRPr="007C3FF5">
        <w:rPr>
          <w:rFonts w:ascii="Times New Roman" w:hAnsi="Times New Roman"/>
          <w:color w:val="000000"/>
        </w:rPr>
        <w:t>.</w:t>
      </w:r>
      <w:r w:rsidR="00CC3A15" w:rsidRPr="007C3FF5">
        <w:rPr>
          <w:rFonts w:ascii="Times New Roman" w:hAnsi="Times New Roman"/>
          <w:color w:val="000000"/>
        </w:rPr>
        <w:t xml:space="preserve"> </w:t>
      </w:r>
      <w:r w:rsidRPr="007C3FF5">
        <w:rPr>
          <w:rFonts w:ascii="Times New Roman" w:hAnsi="Times New Roman"/>
          <w:color w:val="000000"/>
        </w:rPr>
        <w:t xml:space="preserve">the range of industries which contribute to the domestic production of each product). The row sums of this matrix correspond to the domestic output of each product for the whole economy, and the column sums correspond to the total output of each industry. </w:t>
      </w:r>
    </w:p>
    <w:p w:rsidR="00C941FB" w:rsidRPr="007C3FF5" w:rsidRDefault="00C941FB" w:rsidP="00C941FB">
      <w:pPr>
        <w:pStyle w:val="NoSpacing"/>
        <w:spacing w:line="276" w:lineRule="auto"/>
        <w:ind w:left="426"/>
        <w:jc w:val="both"/>
        <w:rPr>
          <w:rFonts w:ascii="Times New Roman" w:hAnsi="Times New Roman"/>
          <w:color w:val="000000"/>
        </w:rPr>
      </w:pPr>
    </w:p>
    <w:p w:rsidR="00C9061B" w:rsidRPr="007C3FF5" w:rsidRDefault="00C9061B"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The Supply matrix is valued at basic prices</w:t>
      </w:r>
      <w:r w:rsidR="0001022C" w:rsidRPr="007C3FF5">
        <w:rPr>
          <w:rFonts w:ascii="Times New Roman" w:hAnsi="Times New Roman"/>
          <w:color w:val="000000"/>
        </w:rPr>
        <w:t>,</w:t>
      </w:r>
      <w:r w:rsidRPr="007C3FF5">
        <w:rPr>
          <w:rFonts w:ascii="Times New Roman" w:hAnsi="Times New Roman"/>
          <w:color w:val="000000"/>
        </w:rPr>
        <w:t xml:space="preserve"> which is the amount received by the producer for a unit of goods or services excluding any taxes or subsidies on products. This price includes only taxes on production (such as business rates) and subsidies on production (such as single farm payment). It should also exclude any transport charges invoiced separately by the producer. </w:t>
      </w:r>
    </w:p>
    <w:p w:rsidR="00C941FB" w:rsidRPr="007C3FF5" w:rsidRDefault="00C941FB" w:rsidP="00C941FB">
      <w:pPr>
        <w:pStyle w:val="NoSpacing"/>
        <w:spacing w:line="276" w:lineRule="auto"/>
        <w:ind w:left="426"/>
        <w:jc w:val="both"/>
        <w:rPr>
          <w:rFonts w:ascii="Times New Roman" w:hAnsi="Times New Roman"/>
          <w:color w:val="000000"/>
        </w:rPr>
      </w:pPr>
    </w:p>
    <w:p w:rsidR="006801DF" w:rsidRPr="007C3FF5" w:rsidRDefault="006801DF"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The output of an industry may be entirely government produced (e</w:t>
      </w:r>
      <w:r w:rsidR="00C941FB" w:rsidRPr="007C3FF5">
        <w:rPr>
          <w:rFonts w:ascii="Times New Roman" w:hAnsi="Times New Roman"/>
          <w:color w:val="000000"/>
        </w:rPr>
        <w:t>.</w:t>
      </w:r>
      <w:r w:rsidRPr="007C3FF5">
        <w:rPr>
          <w:rFonts w:ascii="Times New Roman" w:hAnsi="Times New Roman"/>
          <w:color w:val="000000"/>
        </w:rPr>
        <w:t>g</w:t>
      </w:r>
      <w:r w:rsidR="00C941FB" w:rsidRPr="007C3FF5">
        <w:rPr>
          <w:rFonts w:ascii="Times New Roman" w:hAnsi="Times New Roman"/>
          <w:color w:val="000000"/>
        </w:rPr>
        <w:t>.</w:t>
      </w:r>
      <w:r w:rsidRPr="007C3FF5">
        <w:rPr>
          <w:rFonts w:ascii="Times New Roman" w:hAnsi="Times New Roman"/>
          <w:color w:val="000000"/>
        </w:rPr>
        <w:t xml:space="preserve"> public administration and </w:t>
      </w:r>
      <w:proofErr w:type="spellStart"/>
      <w:r w:rsidRPr="007C3FF5">
        <w:rPr>
          <w:rFonts w:ascii="Times New Roman" w:hAnsi="Times New Roman"/>
          <w:color w:val="000000"/>
        </w:rPr>
        <w:t>defence</w:t>
      </w:r>
      <w:proofErr w:type="spellEnd"/>
      <w:r w:rsidRPr="007C3FF5">
        <w:rPr>
          <w:rFonts w:ascii="Times New Roman" w:hAnsi="Times New Roman"/>
          <w:color w:val="000000"/>
        </w:rPr>
        <w:t>); entirely private sector; or a mixture of both (e</w:t>
      </w:r>
      <w:r w:rsidR="00C941FB" w:rsidRPr="007C3FF5">
        <w:rPr>
          <w:rFonts w:ascii="Times New Roman" w:hAnsi="Times New Roman"/>
          <w:color w:val="000000"/>
        </w:rPr>
        <w:t>.</w:t>
      </w:r>
      <w:r w:rsidRPr="007C3FF5">
        <w:rPr>
          <w:rFonts w:ascii="Times New Roman" w:hAnsi="Times New Roman"/>
          <w:color w:val="000000"/>
        </w:rPr>
        <w:t>g</w:t>
      </w:r>
      <w:r w:rsidR="00C941FB" w:rsidRPr="007C3FF5">
        <w:rPr>
          <w:rFonts w:ascii="Times New Roman" w:hAnsi="Times New Roman"/>
          <w:color w:val="000000"/>
        </w:rPr>
        <w:t>.</w:t>
      </w:r>
      <w:r w:rsidRPr="007C3FF5">
        <w:rPr>
          <w:rFonts w:ascii="Times New Roman" w:hAnsi="Times New Roman"/>
          <w:color w:val="000000"/>
        </w:rPr>
        <w:t xml:space="preserve"> health).  </w:t>
      </w:r>
    </w:p>
    <w:p w:rsidR="00C941FB" w:rsidRPr="007C3FF5" w:rsidRDefault="00C941FB" w:rsidP="00C941FB">
      <w:pPr>
        <w:pStyle w:val="NoSpacing"/>
        <w:spacing w:line="276" w:lineRule="auto"/>
        <w:ind w:left="426"/>
        <w:jc w:val="both"/>
        <w:rPr>
          <w:rFonts w:ascii="Times New Roman" w:hAnsi="Times New Roman"/>
          <w:color w:val="000000"/>
        </w:rPr>
      </w:pPr>
    </w:p>
    <w:p w:rsidR="002E2A17" w:rsidRPr="007C3FF5" w:rsidRDefault="00C9061B"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The output of non-government industries was primarily sourced from the ABI, and was computed as</w:t>
      </w:r>
      <w:r w:rsidR="002E2A17" w:rsidRPr="007C3FF5">
        <w:rPr>
          <w:rFonts w:ascii="Times New Roman" w:hAnsi="Times New Roman"/>
          <w:color w:val="000000"/>
        </w:rPr>
        <w:t xml:space="preserve"> the sum of gross value added (GVA) plus intermediate consumption.</w:t>
      </w:r>
      <w:r w:rsidRPr="007C3FF5">
        <w:rPr>
          <w:rFonts w:ascii="Times New Roman" w:hAnsi="Times New Roman"/>
          <w:color w:val="000000"/>
        </w:rPr>
        <w:t xml:space="preserve"> </w:t>
      </w:r>
      <w:r w:rsidR="002E2A17" w:rsidRPr="007C3FF5">
        <w:rPr>
          <w:rFonts w:ascii="Times New Roman" w:hAnsi="Times New Roman"/>
          <w:color w:val="000000"/>
        </w:rPr>
        <w:t xml:space="preserve"> In doing this, estimates of GVA and its components by SUT category from the ABI were scaled so that they summed to the relevant SIC section from the Regional Accounts.  Intermediate consumption </w:t>
      </w:r>
      <w:r w:rsidR="007A2A7D" w:rsidRPr="007C3FF5">
        <w:rPr>
          <w:rFonts w:ascii="Times New Roman" w:hAnsi="Times New Roman"/>
          <w:color w:val="000000"/>
        </w:rPr>
        <w:t xml:space="preserve">by SUT category </w:t>
      </w:r>
      <w:r w:rsidR="002E2A17" w:rsidRPr="007C3FF5">
        <w:rPr>
          <w:rFonts w:ascii="Times New Roman" w:hAnsi="Times New Roman"/>
          <w:color w:val="000000"/>
        </w:rPr>
        <w:t xml:space="preserve">was </w:t>
      </w:r>
      <w:r w:rsidR="007A2A7D" w:rsidRPr="007C3FF5">
        <w:rPr>
          <w:rFonts w:ascii="Times New Roman" w:hAnsi="Times New Roman"/>
          <w:color w:val="000000"/>
        </w:rPr>
        <w:t xml:space="preserve">then </w:t>
      </w:r>
      <w:r w:rsidR="00E47B8F" w:rsidRPr="007C3FF5">
        <w:rPr>
          <w:rFonts w:ascii="Times New Roman" w:hAnsi="Times New Roman"/>
          <w:color w:val="000000"/>
        </w:rPr>
        <w:t>calculated</w:t>
      </w:r>
      <w:r w:rsidR="007A2A7D" w:rsidRPr="007C3FF5">
        <w:rPr>
          <w:rFonts w:ascii="Times New Roman" w:hAnsi="Times New Roman"/>
          <w:color w:val="000000"/>
        </w:rPr>
        <w:t xml:space="preserve"> so that it represented the same proportion of GVA as </w:t>
      </w:r>
      <w:r w:rsidR="00E47B8F" w:rsidRPr="007C3FF5">
        <w:rPr>
          <w:rFonts w:ascii="Times New Roman" w:hAnsi="Times New Roman"/>
          <w:color w:val="000000"/>
        </w:rPr>
        <w:t>in the NI ABI.</w:t>
      </w:r>
    </w:p>
    <w:p w:rsidR="00C941FB" w:rsidRPr="007C3FF5" w:rsidRDefault="00C941FB" w:rsidP="00C941FB">
      <w:pPr>
        <w:pStyle w:val="NoSpacing"/>
        <w:spacing w:line="276" w:lineRule="auto"/>
        <w:ind w:left="426"/>
        <w:jc w:val="both"/>
        <w:rPr>
          <w:rFonts w:ascii="Times New Roman" w:hAnsi="Times New Roman"/>
          <w:color w:val="000000"/>
        </w:rPr>
      </w:pPr>
    </w:p>
    <w:p w:rsidR="00E73E15" w:rsidRPr="007C3FF5" w:rsidRDefault="006801DF"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Data to estimate government output </w:t>
      </w:r>
      <w:r w:rsidR="006114E1" w:rsidRPr="007C3FF5">
        <w:rPr>
          <w:rFonts w:ascii="Times New Roman" w:hAnsi="Times New Roman"/>
          <w:color w:val="000000"/>
        </w:rPr>
        <w:t>were</w:t>
      </w:r>
      <w:r w:rsidRPr="007C3FF5">
        <w:rPr>
          <w:rFonts w:ascii="Times New Roman" w:hAnsi="Times New Roman"/>
          <w:color w:val="000000"/>
        </w:rPr>
        <w:t xml:space="preserve"> sourced from </w:t>
      </w:r>
      <w:r w:rsidR="006114E1" w:rsidRPr="007C3FF5">
        <w:rPr>
          <w:rFonts w:ascii="Times New Roman" w:hAnsi="Times New Roman"/>
          <w:color w:val="000000"/>
        </w:rPr>
        <w:t xml:space="preserve">HM Treasury’s </w:t>
      </w:r>
      <w:r w:rsidRPr="007C3FF5">
        <w:rPr>
          <w:rFonts w:ascii="Times New Roman" w:hAnsi="Times New Roman"/>
          <w:color w:val="000000"/>
        </w:rPr>
        <w:t xml:space="preserve">COINS/OSCAR </w:t>
      </w:r>
      <w:r w:rsidR="006114E1" w:rsidRPr="007C3FF5">
        <w:rPr>
          <w:rFonts w:ascii="Times New Roman" w:hAnsi="Times New Roman"/>
          <w:color w:val="000000"/>
        </w:rPr>
        <w:t xml:space="preserve">database </w:t>
      </w:r>
      <w:r w:rsidRPr="007C3FF5">
        <w:rPr>
          <w:rFonts w:ascii="Times New Roman" w:hAnsi="Times New Roman"/>
          <w:color w:val="000000"/>
        </w:rPr>
        <w:t xml:space="preserve">and from </w:t>
      </w:r>
      <w:r w:rsidR="006114E1" w:rsidRPr="007C3FF5">
        <w:rPr>
          <w:rFonts w:ascii="Times New Roman" w:hAnsi="Times New Roman"/>
          <w:color w:val="000000"/>
        </w:rPr>
        <w:t>local authority annual accounts and returns to the NI Department of the Environment.</w:t>
      </w:r>
      <w:r w:rsidRPr="007C3FF5">
        <w:rPr>
          <w:rFonts w:ascii="Times New Roman" w:hAnsi="Times New Roman"/>
          <w:color w:val="000000"/>
        </w:rPr>
        <w:t xml:space="preserve">  </w:t>
      </w:r>
      <w:r w:rsidR="00C9061B" w:rsidRPr="007C3FF5">
        <w:rPr>
          <w:rFonts w:ascii="Times New Roman" w:hAnsi="Times New Roman"/>
          <w:color w:val="000000"/>
        </w:rPr>
        <w:t>For g</w:t>
      </w:r>
      <w:r w:rsidR="00766354" w:rsidRPr="007C3FF5">
        <w:rPr>
          <w:rFonts w:ascii="Times New Roman" w:hAnsi="Times New Roman"/>
          <w:color w:val="000000"/>
        </w:rPr>
        <w:t xml:space="preserve">overnment </w:t>
      </w:r>
      <w:r w:rsidRPr="007C3FF5">
        <w:rPr>
          <w:rFonts w:ascii="Times New Roman" w:hAnsi="Times New Roman"/>
          <w:color w:val="000000"/>
        </w:rPr>
        <w:t>(</w:t>
      </w:r>
      <w:r w:rsidR="00C9061B" w:rsidRPr="007C3FF5">
        <w:rPr>
          <w:rFonts w:ascii="Times New Roman" w:hAnsi="Times New Roman"/>
          <w:color w:val="000000"/>
        </w:rPr>
        <w:t>and NPISH</w:t>
      </w:r>
      <w:r w:rsidRPr="007C3FF5">
        <w:rPr>
          <w:rFonts w:ascii="Times New Roman" w:hAnsi="Times New Roman"/>
          <w:color w:val="000000"/>
        </w:rPr>
        <w:t>)</w:t>
      </w:r>
      <w:r w:rsidR="00C9061B" w:rsidRPr="007C3FF5">
        <w:rPr>
          <w:rFonts w:ascii="Times New Roman" w:hAnsi="Times New Roman"/>
          <w:color w:val="000000"/>
        </w:rPr>
        <w:t>, o</w:t>
      </w:r>
      <w:r w:rsidR="00E73E15" w:rsidRPr="007C3FF5">
        <w:rPr>
          <w:rFonts w:ascii="Times New Roman" w:hAnsi="Times New Roman"/>
          <w:color w:val="000000"/>
        </w:rPr>
        <w:t xml:space="preserve">utput </w:t>
      </w:r>
      <w:r w:rsidR="00766354" w:rsidRPr="007C3FF5">
        <w:rPr>
          <w:rFonts w:ascii="Times New Roman" w:hAnsi="Times New Roman"/>
          <w:color w:val="000000"/>
        </w:rPr>
        <w:t>can be</w:t>
      </w:r>
      <w:r w:rsidR="00E73E15" w:rsidRPr="007C3FF5">
        <w:rPr>
          <w:rFonts w:ascii="Times New Roman" w:hAnsi="Times New Roman"/>
          <w:color w:val="000000"/>
        </w:rPr>
        <w:t xml:space="preserve"> broken down into the following categories:</w:t>
      </w:r>
    </w:p>
    <w:p w:rsidR="00C941FB" w:rsidRPr="007C3FF5" w:rsidRDefault="00C941FB" w:rsidP="00C941FB">
      <w:pPr>
        <w:pStyle w:val="NoSpacing"/>
        <w:spacing w:line="276" w:lineRule="auto"/>
        <w:ind w:left="426"/>
        <w:jc w:val="both"/>
        <w:rPr>
          <w:rFonts w:ascii="Times New Roman" w:hAnsi="Times New Roman"/>
          <w:color w:val="000000"/>
        </w:rPr>
      </w:pPr>
    </w:p>
    <w:p w:rsidR="00E73E15" w:rsidRPr="007C3FF5" w:rsidRDefault="006114E1" w:rsidP="00225BB1">
      <w:pPr>
        <w:pStyle w:val="NoSpacing"/>
        <w:numPr>
          <w:ilvl w:val="0"/>
          <w:numId w:val="6"/>
        </w:numPr>
        <w:spacing w:line="276" w:lineRule="auto"/>
        <w:jc w:val="both"/>
        <w:rPr>
          <w:rFonts w:ascii="Times New Roman" w:hAnsi="Times New Roman"/>
        </w:rPr>
      </w:pPr>
      <w:r w:rsidRPr="007C3FF5">
        <w:rPr>
          <w:rFonts w:ascii="Times New Roman" w:hAnsi="Times New Roman"/>
        </w:rPr>
        <w:t>Market output</w:t>
      </w:r>
      <w:r w:rsidR="00E73E15" w:rsidRPr="007C3FF5">
        <w:rPr>
          <w:rFonts w:ascii="Times New Roman" w:hAnsi="Times New Roman"/>
        </w:rPr>
        <w:t>,</w:t>
      </w:r>
      <w:r w:rsidRPr="007C3FF5">
        <w:rPr>
          <w:rFonts w:ascii="Times New Roman" w:hAnsi="Times New Roman"/>
        </w:rPr>
        <w:t xml:space="preserve"> </w:t>
      </w:r>
      <w:r w:rsidR="00E73E15" w:rsidRPr="007C3FF5">
        <w:rPr>
          <w:rFonts w:ascii="Times New Roman" w:hAnsi="Times New Roman"/>
        </w:rPr>
        <w:t>which is the provision of services at economically significant prices</w:t>
      </w:r>
      <w:r w:rsidR="00C941FB" w:rsidRPr="007C3FF5">
        <w:rPr>
          <w:rFonts w:ascii="Times New Roman" w:hAnsi="Times New Roman"/>
        </w:rPr>
        <w:t>;</w:t>
      </w:r>
    </w:p>
    <w:p w:rsidR="00E73E15" w:rsidRPr="007C3FF5" w:rsidRDefault="00E73E15" w:rsidP="00225BB1">
      <w:pPr>
        <w:pStyle w:val="NoSpacing"/>
        <w:numPr>
          <w:ilvl w:val="0"/>
          <w:numId w:val="6"/>
        </w:numPr>
        <w:spacing w:line="276" w:lineRule="auto"/>
        <w:jc w:val="both"/>
        <w:rPr>
          <w:rFonts w:ascii="Times New Roman" w:hAnsi="Times New Roman"/>
        </w:rPr>
      </w:pPr>
      <w:r w:rsidRPr="007C3FF5">
        <w:rPr>
          <w:rFonts w:ascii="Times New Roman" w:hAnsi="Times New Roman"/>
        </w:rPr>
        <w:t>Own account production, including output for own gross fixed capital formation; e</w:t>
      </w:r>
      <w:r w:rsidR="00C941FB" w:rsidRPr="007C3FF5">
        <w:rPr>
          <w:rFonts w:ascii="Times New Roman" w:hAnsi="Times New Roman"/>
        </w:rPr>
        <w:t>.</w:t>
      </w:r>
      <w:r w:rsidRPr="007C3FF5">
        <w:rPr>
          <w:rFonts w:ascii="Times New Roman" w:hAnsi="Times New Roman"/>
        </w:rPr>
        <w:t>g</w:t>
      </w:r>
      <w:r w:rsidR="00C941FB" w:rsidRPr="007C3FF5">
        <w:rPr>
          <w:rFonts w:ascii="Times New Roman" w:hAnsi="Times New Roman"/>
        </w:rPr>
        <w:t>. in-house IT development; and</w:t>
      </w:r>
    </w:p>
    <w:p w:rsidR="00E73E15" w:rsidRPr="007C3FF5" w:rsidRDefault="00E73E15"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Other non-market output. This is output which is provided free, or at economically insignificant prices; it includes services such as military </w:t>
      </w:r>
      <w:proofErr w:type="spellStart"/>
      <w:r w:rsidRPr="007C3FF5">
        <w:rPr>
          <w:rFonts w:ascii="Times New Roman" w:hAnsi="Times New Roman"/>
        </w:rPr>
        <w:t>defence</w:t>
      </w:r>
      <w:proofErr w:type="spellEnd"/>
      <w:r w:rsidRPr="007C3FF5">
        <w:rPr>
          <w:rFonts w:ascii="Times New Roman" w:hAnsi="Times New Roman"/>
        </w:rPr>
        <w:t xml:space="preserve"> and the NHS. </w:t>
      </w:r>
    </w:p>
    <w:p w:rsidR="00E73E15" w:rsidRPr="007C3FF5" w:rsidRDefault="00E73E15" w:rsidP="00C941FB">
      <w:pPr>
        <w:pStyle w:val="NoSpacing"/>
        <w:spacing w:line="276" w:lineRule="auto"/>
        <w:ind w:left="426"/>
        <w:jc w:val="both"/>
        <w:rPr>
          <w:rFonts w:ascii="Times New Roman" w:hAnsi="Times New Roman"/>
          <w:color w:val="000000"/>
        </w:rPr>
      </w:pPr>
    </w:p>
    <w:p w:rsidR="0001022C" w:rsidRPr="007C3FF5" w:rsidRDefault="00E73E15"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Most of the output of government is non-market output, and cannot be identified as uses of any specific institutional sector. Conventionally, this non-market output is valued according to the sum of the inputs used in its production (pay, procurement, gross operating surplus)</w:t>
      </w:r>
      <w:r w:rsidR="00766354" w:rsidRPr="007C3FF5">
        <w:rPr>
          <w:rFonts w:ascii="Times New Roman" w:hAnsi="Times New Roman"/>
          <w:color w:val="000000"/>
        </w:rPr>
        <w:t>.   The sum of these costs, when added to the value of market output and own-account production, goes into the relevant industry column of the supply table.</w:t>
      </w:r>
      <w:r w:rsidR="00E354D8" w:rsidRPr="007C3FF5">
        <w:rPr>
          <w:rFonts w:ascii="Times New Roman" w:hAnsi="Times New Roman"/>
          <w:color w:val="000000"/>
        </w:rPr>
        <w:t xml:space="preserve">  As</w:t>
      </w:r>
      <w:r w:rsidR="0001022C" w:rsidRPr="007C3FF5">
        <w:rPr>
          <w:rFonts w:ascii="Times New Roman" w:hAnsi="Times New Roman"/>
          <w:color w:val="000000"/>
        </w:rPr>
        <w:t xml:space="preserve"> there is assumed to be no net operating surplus on government activities, the gross operating surplus </w:t>
      </w:r>
      <w:r w:rsidR="006801DF" w:rsidRPr="007C3FF5">
        <w:rPr>
          <w:rFonts w:ascii="Times New Roman" w:hAnsi="Times New Roman"/>
          <w:color w:val="000000"/>
        </w:rPr>
        <w:t>element</w:t>
      </w:r>
      <w:r w:rsidR="0001022C" w:rsidRPr="007C3FF5">
        <w:rPr>
          <w:rFonts w:ascii="Times New Roman" w:hAnsi="Times New Roman"/>
          <w:color w:val="000000"/>
        </w:rPr>
        <w:t xml:space="preserve"> consists only of consumption of fixed capital. </w:t>
      </w:r>
    </w:p>
    <w:p w:rsidR="00C941FB" w:rsidRPr="007C3FF5" w:rsidRDefault="00C941FB" w:rsidP="00C941FB">
      <w:pPr>
        <w:pStyle w:val="NoSpacing"/>
        <w:spacing w:line="276" w:lineRule="auto"/>
        <w:ind w:left="426"/>
        <w:jc w:val="both"/>
        <w:rPr>
          <w:rFonts w:ascii="Times New Roman" w:hAnsi="Times New Roman"/>
          <w:color w:val="000000"/>
        </w:rPr>
      </w:pPr>
    </w:p>
    <w:p w:rsidR="006801DF" w:rsidRPr="007C3FF5" w:rsidRDefault="006801DF"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NPISH, total output was estimated </w:t>
      </w:r>
      <w:r w:rsidR="00E31F22" w:rsidRPr="007C3FF5">
        <w:rPr>
          <w:rFonts w:ascii="Times New Roman" w:hAnsi="Times New Roman"/>
          <w:color w:val="000000"/>
        </w:rPr>
        <w:t>as follows:</w:t>
      </w:r>
    </w:p>
    <w:p w:rsidR="00C941FB" w:rsidRPr="007C3FF5" w:rsidRDefault="00C941FB" w:rsidP="00C941FB">
      <w:pPr>
        <w:pStyle w:val="NoSpacing"/>
        <w:spacing w:line="276" w:lineRule="auto"/>
        <w:ind w:left="426"/>
        <w:jc w:val="both"/>
        <w:rPr>
          <w:rFonts w:ascii="Times New Roman" w:hAnsi="Times New Roman"/>
          <w:color w:val="000000"/>
        </w:rPr>
      </w:pPr>
    </w:p>
    <w:p w:rsidR="00E31F22" w:rsidRPr="007C3FF5" w:rsidRDefault="00E31F22" w:rsidP="00225BB1">
      <w:pPr>
        <w:pStyle w:val="NoSpacing"/>
        <w:numPr>
          <w:ilvl w:val="0"/>
          <w:numId w:val="6"/>
        </w:numPr>
        <w:spacing w:line="276" w:lineRule="auto"/>
        <w:jc w:val="both"/>
        <w:rPr>
          <w:rFonts w:ascii="Times New Roman" w:hAnsi="Times New Roman"/>
        </w:rPr>
      </w:pPr>
      <w:r w:rsidRPr="007C3FF5">
        <w:rPr>
          <w:rFonts w:ascii="Times New Roman" w:hAnsi="Times New Roman"/>
        </w:rPr>
        <w:t>For universities</w:t>
      </w:r>
      <w:r w:rsidR="006C0E3E" w:rsidRPr="007C3FF5">
        <w:rPr>
          <w:rFonts w:ascii="Times New Roman" w:hAnsi="Times New Roman"/>
        </w:rPr>
        <w:t xml:space="preserve">, as the sum of pay, </w:t>
      </w:r>
      <w:r w:rsidRPr="007C3FF5">
        <w:rPr>
          <w:rFonts w:ascii="Times New Roman" w:hAnsi="Times New Roman"/>
        </w:rPr>
        <w:t xml:space="preserve">intermediate consumption, </w:t>
      </w:r>
      <w:r w:rsidR="006C0E3E" w:rsidRPr="007C3FF5">
        <w:rPr>
          <w:rFonts w:ascii="Times New Roman" w:hAnsi="Times New Roman"/>
        </w:rPr>
        <w:t xml:space="preserve">and capital consumption </w:t>
      </w:r>
      <w:r w:rsidRPr="007C3FF5">
        <w:rPr>
          <w:rFonts w:ascii="Times New Roman" w:hAnsi="Times New Roman"/>
        </w:rPr>
        <w:t>taken from their annual accounts;</w:t>
      </w:r>
    </w:p>
    <w:p w:rsidR="00E31F22" w:rsidRPr="007C3FF5" w:rsidRDefault="00E31F22"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For charities, as their estimated annual income derived from data produced by the Northern Ireland </w:t>
      </w:r>
      <w:r w:rsidR="009F1280" w:rsidRPr="007C3FF5">
        <w:rPr>
          <w:rFonts w:ascii="Times New Roman" w:hAnsi="Times New Roman"/>
        </w:rPr>
        <w:t>Council for Voluntary Action on average donations per head, together with annual estimat</w:t>
      </w:r>
      <w:r w:rsidR="00E354D8" w:rsidRPr="007C3FF5">
        <w:rPr>
          <w:rFonts w:ascii="Times New Roman" w:hAnsi="Times New Roman"/>
        </w:rPr>
        <w:t xml:space="preserve">es of </w:t>
      </w:r>
      <w:r w:rsidR="009F1280" w:rsidRPr="007C3FF5">
        <w:rPr>
          <w:rFonts w:ascii="Times New Roman" w:hAnsi="Times New Roman"/>
        </w:rPr>
        <w:t>legacy income for the UK</w:t>
      </w:r>
      <w:r w:rsidR="00E354D8" w:rsidRPr="007C3FF5">
        <w:rPr>
          <w:rFonts w:ascii="Times New Roman" w:hAnsi="Times New Roman"/>
        </w:rPr>
        <w:t>; and</w:t>
      </w:r>
    </w:p>
    <w:p w:rsidR="00E31F22" w:rsidRPr="007C3FF5" w:rsidRDefault="00E31F22"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For trade unions, as their estimated income using membership numbers and average subscription rates from the </w:t>
      </w:r>
      <w:r w:rsidR="001C2AB2" w:rsidRPr="007C3FF5">
        <w:rPr>
          <w:rFonts w:ascii="Times New Roman" w:hAnsi="Times New Roman"/>
        </w:rPr>
        <w:t>consumer prices index</w:t>
      </w:r>
      <w:r w:rsidR="00E354D8" w:rsidRPr="007C3FF5">
        <w:rPr>
          <w:rFonts w:ascii="Times New Roman" w:hAnsi="Times New Roman"/>
        </w:rPr>
        <w:t>.</w:t>
      </w:r>
    </w:p>
    <w:p w:rsidR="00C941FB" w:rsidRPr="007C3FF5" w:rsidRDefault="00C941FB" w:rsidP="00C941FB">
      <w:pPr>
        <w:pStyle w:val="NoSpacing"/>
        <w:spacing w:line="276" w:lineRule="auto"/>
        <w:ind w:left="426"/>
        <w:jc w:val="both"/>
        <w:rPr>
          <w:rFonts w:ascii="Times New Roman" w:hAnsi="Times New Roman"/>
          <w:color w:val="000000"/>
        </w:rPr>
      </w:pPr>
    </w:p>
    <w:p w:rsidR="00505FF2" w:rsidRPr="007C3FF5" w:rsidRDefault="00505FF2"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NPISH total output was then allocated to industry in line with </w:t>
      </w:r>
      <w:r w:rsidR="006C0E3E" w:rsidRPr="007C3FF5">
        <w:rPr>
          <w:rFonts w:ascii="Times New Roman" w:hAnsi="Times New Roman"/>
          <w:color w:val="000000"/>
        </w:rPr>
        <w:t>UK proportions</w:t>
      </w:r>
      <w:r w:rsidR="00F37BD8" w:rsidRPr="007C3FF5">
        <w:rPr>
          <w:rFonts w:ascii="Times New Roman" w:hAnsi="Times New Roman"/>
          <w:color w:val="000000"/>
        </w:rPr>
        <w:t>, except for education which was set equal to the input costs for universities</w:t>
      </w:r>
      <w:r w:rsidR="006C0E3E" w:rsidRPr="007C3FF5">
        <w:rPr>
          <w:rFonts w:ascii="Times New Roman" w:hAnsi="Times New Roman"/>
          <w:color w:val="000000"/>
        </w:rPr>
        <w:t>.</w:t>
      </w:r>
    </w:p>
    <w:p w:rsidR="00C941FB" w:rsidRPr="007C3FF5" w:rsidRDefault="00C941FB" w:rsidP="00C941FB">
      <w:pPr>
        <w:pStyle w:val="NoSpacing"/>
        <w:spacing w:line="276" w:lineRule="auto"/>
        <w:ind w:left="426"/>
        <w:jc w:val="both"/>
        <w:rPr>
          <w:rFonts w:ascii="Times New Roman" w:hAnsi="Times New Roman"/>
          <w:color w:val="000000"/>
        </w:rPr>
      </w:pPr>
    </w:p>
    <w:p w:rsidR="00766354" w:rsidRPr="007C3FF5" w:rsidRDefault="00F7594A"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some industries, </w:t>
      </w:r>
      <w:r w:rsidR="00544C49" w:rsidRPr="007C3FF5">
        <w:rPr>
          <w:rFonts w:ascii="Times New Roman" w:hAnsi="Times New Roman"/>
          <w:color w:val="000000"/>
        </w:rPr>
        <w:t>specific</w:t>
      </w:r>
      <w:r w:rsidRPr="007C3FF5">
        <w:rPr>
          <w:rFonts w:ascii="Times New Roman" w:hAnsi="Times New Roman"/>
          <w:color w:val="000000"/>
        </w:rPr>
        <w:t xml:space="preserve"> information for Northern Ireland </w:t>
      </w:r>
      <w:r w:rsidR="0001022C" w:rsidRPr="007C3FF5">
        <w:rPr>
          <w:rFonts w:ascii="Times New Roman" w:hAnsi="Times New Roman"/>
          <w:color w:val="000000"/>
        </w:rPr>
        <w:t>wa</w:t>
      </w:r>
      <w:r w:rsidRPr="007C3FF5">
        <w:rPr>
          <w:rFonts w:ascii="Times New Roman" w:hAnsi="Times New Roman"/>
          <w:color w:val="000000"/>
        </w:rPr>
        <w:t xml:space="preserve">s not readily available and </w:t>
      </w:r>
      <w:r w:rsidR="0001022C" w:rsidRPr="007C3FF5">
        <w:rPr>
          <w:rFonts w:ascii="Times New Roman" w:hAnsi="Times New Roman"/>
          <w:color w:val="000000"/>
        </w:rPr>
        <w:t xml:space="preserve">ad hoc estimation methods </w:t>
      </w:r>
      <w:r w:rsidR="00544C49" w:rsidRPr="007C3FF5">
        <w:rPr>
          <w:rFonts w:ascii="Times New Roman" w:hAnsi="Times New Roman"/>
          <w:color w:val="000000"/>
        </w:rPr>
        <w:t>were</w:t>
      </w:r>
      <w:r w:rsidR="0001022C" w:rsidRPr="007C3FF5">
        <w:rPr>
          <w:rFonts w:ascii="Times New Roman" w:hAnsi="Times New Roman"/>
          <w:color w:val="000000"/>
        </w:rPr>
        <w:t xml:space="preserve"> used.</w:t>
      </w:r>
    </w:p>
    <w:p w:rsidR="00C941FB" w:rsidRPr="007C3FF5" w:rsidRDefault="00C941FB" w:rsidP="00C941FB">
      <w:pPr>
        <w:pStyle w:val="NoSpacing"/>
        <w:spacing w:line="276" w:lineRule="auto"/>
        <w:ind w:left="426"/>
        <w:jc w:val="both"/>
        <w:rPr>
          <w:rFonts w:ascii="Times New Roman" w:hAnsi="Times New Roman"/>
          <w:color w:val="000000"/>
        </w:rPr>
      </w:pPr>
    </w:p>
    <w:p w:rsidR="0001022C" w:rsidRPr="007C3FF5" w:rsidRDefault="0001022C"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first of these was for </w:t>
      </w:r>
      <w:r w:rsidRPr="007C3FF5">
        <w:rPr>
          <w:rFonts w:ascii="Times New Roman" w:hAnsi="Times New Roman"/>
          <w:b/>
          <w:color w:val="000000"/>
        </w:rPr>
        <w:t>imputed rents</w:t>
      </w:r>
      <w:r w:rsidRPr="007C3FF5">
        <w:rPr>
          <w:rFonts w:ascii="Times New Roman" w:hAnsi="Times New Roman"/>
          <w:color w:val="000000"/>
        </w:rPr>
        <w:t xml:space="preserve"> – the amount an owner-occupier would need to pay to rent their </w:t>
      </w:r>
      <w:r w:rsidR="00A073D3" w:rsidRPr="007C3FF5">
        <w:rPr>
          <w:rFonts w:ascii="Times New Roman" w:hAnsi="Times New Roman"/>
          <w:color w:val="000000"/>
        </w:rPr>
        <w:t xml:space="preserve">own </w:t>
      </w:r>
      <w:r w:rsidRPr="007C3FF5">
        <w:rPr>
          <w:rFonts w:ascii="Times New Roman" w:hAnsi="Times New Roman"/>
          <w:color w:val="000000"/>
        </w:rPr>
        <w:t xml:space="preserve">property.  This was calculated </w:t>
      </w:r>
      <w:r w:rsidR="006F777A" w:rsidRPr="007C3FF5">
        <w:rPr>
          <w:rFonts w:ascii="Times New Roman" w:hAnsi="Times New Roman"/>
          <w:color w:val="000000"/>
        </w:rPr>
        <w:t>taking into account</w:t>
      </w:r>
      <w:r w:rsidR="000A7F93" w:rsidRPr="007C3FF5">
        <w:rPr>
          <w:rFonts w:ascii="Times New Roman" w:hAnsi="Times New Roman"/>
          <w:color w:val="000000"/>
        </w:rPr>
        <w:t xml:space="preserve">: </w:t>
      </w:r>
      <w:r w:rsidR="00F37BD8" w:rsidRPr="007C3FF5">
        <w:rPr>
          <w:rFonts w:ascii="Times New Roman" w:hAnsi="Times New Roman"/>
          <w:color w:val="000000"/>
        </w:rPr>
        <w:t>relative</w:t>
      </w:r>
      <w:r w:rsidR="006F777A" w:rsidRPr="007C3FF5">
        <w:rPr>
          <w:rFonts w:ascii="Times New Roman" w:hAnsi="Times New Roman"/>
          <w:color w:val="000000"/>
        </w:rPr>
        <w:t xml:space="preserve"> rental levels </w:t>
      </w:r>
      <w:r w:rsidR="007A2A7D" w:rsidRPr="007C3FF5">
        <w:rPr>
          <w:rFonts w:ascii="Times New Roman" w:hAnsi="Times New Roman"/>
          <w:color w:val="000000"/>
        </w:rPr>
        <w:t xml:space="preserve">in NI compared with UK using data from </w:t>
      </w:r>
      <w:r w:rsidR="006F777A" w:rsidRPr="007C3FF5">
        <w:rPr>
          <w:rFonts w:ascii="Times New Roman" w:hAnsi="Times New Roman"/>
          <w:color w:val="000000"/>
        </w:rPr>
        <w:t xml:space="preserve">the </w:t>
      </w:r>
      <w:r w:rsidR="00F37BD8" w:rsidRPr="007C3FF5">
        <w:rPr>
          <w:rFonts w:ascii="Times New Roman" w:hAnsi="Times New Roman"/>
          <w:color w:val="000000"/>
        </w:rPr>
        <w:t>consumer</w:t>
      </w:r>
      <w:r w:rsidR="006F777A" w:rsidRPr="007C3FF5">
        <w:rPr>
          <w:rFonts w:ascii="Times New Roman" w:hAnsi="Times New Roman"/>
          <w:color w:val="000000"/>
        </w:rPr>
        <w:t xml:space="preserve"> prices index; </w:t>
      </w:r>
      <w:r w:rsidR="00A073D3" w:rsidRPr="007C3FF5">
        <w:rPr>
          <w:rFonts w:ascii="Times New Roman" w:hAnsi="Times New Roman"/>
          <w:color w:val="000000"/>
        </w:rPr>
        <w:t>di</w:t>
      </w:r>
      <w:r w:rsidRPr="007C3FF5">
        <w:rPr>
          <w:rFonts w:ascii="Times New Roman" w:hAnsi="Times New Roman"/>
          <w:color w:val="000000"/>
        </w:rPr>
        <w:t xml:space="preserve">fferences in the distribution of house types </w:t>
      </w:r>
      <w:r w:rsidR="00A073D3" w:rsidRPr="007C3FF5">
        <w:rPr>
          <w:rFonts w:ascii="Times New Roman" w:hAnsi="Times New Roman"/>
          <w:color w:val="000000"/>
        </w:rPr>
        <w:t>and relative owner-occupancy rates in NI compared to UK; and the number of households in Northern Ireland.</w:t>
      </w:r>
    </w:p>
    <w:p w:rsidR="00C941FB" w:rsidRPr="007C3FF5" w:rsidRDefault="00C941FB" w:rsidP="00C941FB">
      <w:pPr>
        <w:pStyle w:val="NoSpacing"/>
        <w:spacing w:line="276" w:lineRule="auto"/>
        <w:ind w:left="426"/>
        <w:jc w:val="both"/>
        <w:rPr>
          <w:rFonts w:ascii="Times New Roman" w:hAnsi="Times New Roman"/>
          <w:color w:val="000000"/>
        </w:rPr>
      </w:pPr>
    </w:p>
    <w:p w:rsidR="00063A42" w:rsidRPr="007C3FF5" w:rsidRDefault="00063A42"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Measuring the output and consumption of </w:t>
      </w:r>
      <w:r w:rsidRPr="007C3FF5">
        <w:rPr>
          <w:rFonts w:ascii="Times New Roman" w:hAnsi="Times New Roman"/>
          <w:b/>
          <w:color w:val="000000"/>
        </w:rPr>
        <w:t>financial and insurance services</w:t>
      </w:r>
      <w:r w:rsidRPr="007C3FF5">
        <w:rPr>
          <w:rFonts w:ascii="Times New Roman" w:hAnsi="Times New Roman"/>
          <w:color w:val="000000"/>
        </w:rPr>
        <w:t xml:space="preserve"> in Northern Ireland is particularly difficult.  The output of the banking sector in the National Accounts is called FISIM (financial intermediation services indirectly measured).  For borrowing from banks, this is essentially the difference between the interest rate actually paid and what would have been paid at a reference rate (such as the Bank of England’s base rate). For deposits with banks, it is the difference between the interest actually received and what would have been received had the deposits received interest at the reference rate.  All sectors of the economy can pay FISIM.  So, in principle, the levels of bank deposits and borrowing are needed by sector and industry, split by country of residence of the bank.  This information is not readily available.</w:t>
      </w:r>
    </w:p>
    <w:p w:rsidR="00C941FB" w:rsidRPr="007C3FF5" w:rsidRDefault="00C941FB" w:rsidP="00C941FB">
      <w:pPr>
        <w:pStyle w:val="NoSpacing"/>
        <w:spacing w:line="276" w:lineRule="auto"/>
        <w:ind w:left="426"/>
        <w:jc w:val="both"/>
        <w:rPr>
          <w:rFonts w:ascii="Times New Roman" w:hAnsi="Times New Roman"/>
          <w:color w:val="000000"/>
        </w:rPr>
      </w:pPr>
    </w:p>
    <w:p w:rsidR="0001022C" w:rsidRPr="007C3FF5" w:rsidRDefault="0001022C"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w:t>
      </w:r>
      <w:r w:rsidR="007A2A7D" w:rsidRPr="007C3FF5">
        <w:rPr>
          <w:rFonts w:ascii="Times New Roman" w:hAnsi="Times New Roman"/>
          <w:color w:val="000000"/>
        </w:rPr>
        <w:t xml:space="preserve">NI </w:t>
      </w:r>
      <w:r w:rsidRPr="007C3FF5">
        <w:rPr>
          <w:rFonts w:ascii="Times New Roman" w:hAnsi="Times New Roman"/>
          <w:color w:val="000000"/>
        </w:rPr>
        <w:t xml:space="preserve">financial services and insurance, </w:t>
      </w:r>
      <w:r w:rsidR="007A2A7D" w:rsidRPr="007C3FF5">
        <w:rPr>
          <w:rFonts w:ascii="Times New Roman" w:hAnsi="Times New Roman"/>
          <w:color w:val="000000"/>
        </w:rPr>
        <w:t xml:space="preserve">the regional accounts figures for </w:t>
      </w:r>
      <w:r w:rsidRPr="007C3FF5">
        <w:rPr>
          <w:rFonts w:ascii="Times New Roman" w:hAnsi="Times New Roman"/>
          <w:color w:val="000000"/>
        </w:rPr>
        <w:t>GVA and its components were distributed among the relevant SUT industries in the same proportions as for the UK.  The ratio of intermediate consumption to GVA for the UK for each of these industries was then used to derive estimates of intermediate consumption for Northern Ireland, and hence total output by industry.</w:t>
      </w:r>
    </w:p>
    <w:p w:rsidR="000A7F93" w:rsidRPr="007C3FF5" w:rsidRDefault="000A7F93" w:rsidP="00C941FB">
      <w:pPr>
        <w:pStyle w:val="NoSpacing"/>
        <w:spacing w:line="276" w:lineRule="auto"/>
        <w:ind w:left="426"/>
        <w:jc w:val="both"/>
        <w:rPr>
          <w:rFonts w:ascii="Times New Roman" w:hAnsi="Times New Roman"/>
          <w:color w:val="000000"/>
        </w:rPr>
      </w:pPr>
    </w:p>
    <w:p w:rsidR="009F1280" w:rsidRPr="007C3FF5" w:rsidRDefault="009F1280"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final stage in compiling the Supply matrix, once total output by industry had been estimated, was to populate the body of the table, showing the output by product for each industry.  This was done </w:t>
      </w:r>
      <w:r w:rsidR="00BB2B46" w:rsidRPr="007C3FF5">
        <w:rPr>
          <w:rFonts w:ascii="Times New Roman" w:hAnsi="Times New Roman"/>
          <w:color w:val="000000"/>
        </w:rPr>
        <w:t xml:space="preserve">by assuming that the split by product in Northern Ireland was the same as for the corresponding industry in the UK, enabling the use of </w:t>
      </w:r>
      <w:r w:rsidRPr="007C3FF5">
        <w:rPr>
          <w:rFonts w:ascii="Times New Roman" w:hAnsi="Times New Roman"/>
          <w:color w:val="000000"/>
        </w:rPr>
        <w:t>UK Supply Table proportions.</w:t>
      </w:r>
    </w:p>
    <w:p w:rsidR="000A7F93" w:rsidRPr="007C3FF5" w:rsidRDefault="000A7F93" w:rsidP="00C941FB">
      <w:pPr>
        <w:pStyle w:val="NoSpacing"/>
        <w:spacing w:line="276" w:lineRule="auto"/>
        <w:ind w:left="426"/>
        <w:jc w:val="both"/>
        <w:rPr>
          <w:rFonts w:ascii="Times New Roman" w:hAnsi="Times New Roman"/>
          <w:color w:val="000000"/>
        </w:rPr>
      </w:pPr>
    </w:p>
    <w:p w:rsidR="009F1280" w:rsidRPr="007C3FF5" w:rsidRDefault="009F1280"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remaining columns of the full Supply Table show the transition from domestic product output at basic prices to total supply of products at purchasers’ prices, but these are not estimated until later on in the process of compilation. </w:t>
      </w:r>
    </w:p>
    <w:p w:rsidR="00C941FB" w:rsidRPr="007C3FF5" w:rsidRDefault="00C941FB" w:rsidP="00C941FB">
      <w:pPr>
        <w:pStyle w:val="NoSpacing"/>
        <w:spacing w:line="276" w:lineRule="auto"/>
        <w:ind w:left="426"/>
        <w:jc w:val="both"/>
        <w:rPr>
          <w:rFonts w:ascii="Times New Roman" w:hAnsi="Times New Roman"/>
          <w:color w:val="000000"/>
        </w:rPr>
      </w:pPr>
    </w:p>
    <w:p w:rsidR="001C5A54" w:rsidRPr="007C3FF5" w:rsidRDefault="001C5A54" w:rsidP="00C941FB">
      <w:pPr>
        <w:pStyle w:val="Heading2"/>
        <w:ind w:left="426"/>
        <w:rPr>
          <w:rFonts w:ascii="Times New Roman" w:hAnsi="Times New Roman" w:cs="Times New Roman"/>
          <w:lang w:bidi="ar-SA"/>
        </w:rPr>
      </w:pPr>
      <w:bookmarkStart w:id="28" w:name="_Toc383010494"/>
      <w:r w:rsidRPr="007C3FF5">
        <w:rPr>
          <w:rFonts w:ascii="Times New Roman" w:hAnsi="Times New Roman" w:cs="Times New Roman"/>
          <w:lang w:bidi="ar-SA"/>
        </w:rPr>
        <w:t>Intermediate demand</w:t>
      </w:r>
      <w:bookmarkEnd w:id="28"/>
      <w:r w:rsidRPr="007C3FF5">
        <w:rPr>
          <w:rFonts w:ascii="Times New Roman" w:hAnsi="Times New Roman" w:cs="Times New Roman"/>
          <w:lang w:bidi="ar-SA"/>
        </w:rPr>
        <w:t xml:space="preserve"> </w:t>
      </w:r>
    </w:p>
    <w:p w:rsidR="00C941FB" w:rsidRPr="007C3FF5" w:rsidRDefault="00C941FB" w:rsidP="00C941FB">
      <w:pPr>
        <w:pStyle w:val="NoSpacing"/>
        <w:spacing w:line="276" w:lineRule="auto"/>
        <w:ind w:left="426"/>
        <w:jc w:val="both"/>
        <w:rPr>
          <w:rFonts w:ascii="Times New Roman" w:hAnsi="Times New Roman"/>
          <w:color w:val="000000"/>
        </w:rPr>
      </w:pPr>
    </w:p>
    <w:p w:rsidR="00886B23" w:rsidRPr="007C3FF5" w:rsidRDefault="00886B23"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In performing the trial balance, separate intermediate demand matrices of industry by product were compiled for general government and other sectors.  These were </w:t>
      </w:r>
      <w:r w:rsidR="00967567" w:rsidRPr="007C3FF5">
        <w:rPr>
          <w:rFonts w:ascii="Times New Roman" w:hAnsi="Times New Roman"/>
          <w:color w:val="000000"/>
        </w:rPr>
        <w:t>summed</w:t>
      </w:r>
      <w:r w:rsidRPr="007C3FF5">
        <w:rPr>
          <w:rFonts w:ascii="Times New Roman" w:hAnsi="Times New Roman"/>
          <w:color w:val="000000"/>
        </w:rPr>
        <w:t xml:space="preserve"> to give the final intermediate consumption table.</w:t>
      </w:r>
    </w:p>
    <w:p w:rsidR="00C941FB" w:rsidRPr="007C3FF5" w:rsidRDefault="00C941FB" w:rsidP="00C941FB">
      <w:pPr>
        <w:pStyle w:val="NoSpacing"/>
        <w:spacing w:line="276" w:lineRule="auto"/>
        <w:ind w:left="426"/>
        <w:jc w:val="both"/>
        <w:rPr>
          <w:rFonts w:ascii="Times New Roman" w:hAnsi="Times New Roman"/>
          <w:color w:val="000000"/>
        </w:rPr>
      </w:pPr>
    </w:p>
    <w:p w:rsidR="00AE1AC2" w:rsidRPr="007C3FF5" w:rsidRDefault="00886B23"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Total expenditure on goods and services by </w:t>
      </w:r>
      <w:r w:rsidR="000B75D3" w:rsidRPr="007C3FF5">
        <w:rPr>
          <w:rFonts w:ascii="Times New Roman" w:hAnsi="Times New Roman"/>
          <w:color w:val="000000"/>
        </w:rPr>
        <w:t xml:space="preserve">industry for </w:t>
      </w:r>
      <w:r w:rsidRPr="007C3FF5">
        <w:rPr>
          <w:rFonts w:ascii="Times New Roman" w:hAnsi="Times New Roman"/>
          <w:color w:val="000000"/>
        </w:rPr>
        <w:t xml:space="preserve">central </w:t>
      </w:r>
      <w:r w:rsidR="000B75D3" w:rsidRPr="007C3FF5">
        <w:rPr>
          <w:rFonts w:ascii="Times New Roman" w:hAnsi="Times New Roman"/>
          <w:color w:val="000000"/>
        </w:rPr>
        <w:t xml:space="preserve">and local </w:t>
      </w:r>
      <w:r w:rsidRPr="007C3FF5">
        <w:rPr>
          <w:rFonts w:ascii="Times New Roman" w:hAnsi="Times New Roman"/>
          <w:color w:val="000000"/>
        </w:rPr>
        <w:t>government w</w:t>
      </w:r>
      <w:r w:rsidR="000B75D3" w:rsidRPr="007C3FF5">
        <w:rPr>
          <w:rFonts w:ascii="Times New Roman" w:hAnsi="Times New Roman"/>
          <w:color w:val="000000"/>
        </w:rPr>
        <w:t xml:space="preserve">ere </w:t>
      </w:r>
      <w:r w:rsidR="00AB59D7" w:rsidRPr="007C3FF5">
        <w:rPr>
          <w:rFonts w:ascii="Times New Roman" w:hAnsi="Times New Roman"/>
          <w:color w:val="000000"/>
        </w:rPr>
        <w:t>a</w:t>
      </w:r>
      <w:r w:rsidR="00AE1AC2" w:rsidRPr="007C3FF5">
        <w:rPr>
          <w:rFonts w:ascii="Times New Roman" w:hAnsi="Times New Roman"/>
          <w:color w:val="000000"/>
        </w:rPr>
        <w:t>pportioned to products using the proportional split for general government from the UK Supply Use Tables.</w:t>
      </w:r>
    </w:p>
    <w:p w:rsidR="00C941FB" w:rsidRPr="007C3FF5" w:rsidRDefault="00C941FB" w:rsidP="00C941FB">
      <w:pPr>
        <w:pStyle w:val="NoSpacing"/>
        <w:spacing w:line="276" w:lineRule="auto"/>
        <w:ind w:left="426"/>
        <w:jc w:val="both"/>
        <w:rPr>
          <w:rFonts w:ascii="Times New Roman" w:hAnsi="Times New Roman"/>
          <w:color w:val="000000"/>
        </w:rPr>
      </w:pPr>
    </w:p>
    <w:p w:rsidR="008B172E" w:rsidRPr="007C3FF5" w:rsidRDefault="00967567"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For other sectors</w:t>
      </w:r>
      <w:r w:rsidR="00DE116F" w:rsidRPr="007C3FF5">
        <w:rPr>
          <w:rFonts w:ascii="Times New Roman" w:hAnsi="Times New Roman"/>
          <w:color w:val="000000"/>
        </w:rPr>
        <w:t xml:space="preserve"> and industries</w:t>
      </w:r>
      <w:r w:rsidRPr="007C3FF5">
        <w:rPr>
          <w:rFonts w:ascii="Times New Roman" w:hAnsi="Times New Roman"/>
          <w:color w:val="000000"/>
        </w:rPr>
        <w:t xml:space="preserve">, the </w:t>
      </w:r>
      <w:r w:rsidR="00DE116F" w:rsidRPr="007C3FF5">
        <w:rPr>
          <w:rFonts w:ascii="Times New Roman" w:hAnsi="Times New Roman"/>
          <w:color w:val="000000"/>
        </w:rPr>
        <w:t xml:space="preserve">data sources </w:t>
      </w:r>
      <w:r w:rsidR="00EE580D" w:rsidRPr="007C3FF5">
        <w:rPr>
          <w:rFonts w:ascii="Times New Roman" w:hAnsi="Times New Roman"/>
          <w:color w:val="000000"/>
        </w:rPr>
        <w:t xml:space="preserve">for total intermediate consumption by industry </w:t>
      </w:r>
      <w:r w:rsidR="00DE116F" w:rsidRPr="007C3FF5">
        <w:rPr>
          <w:rFonts w:ascii="Times New Roman" w:hAnsi="Times New Roman"/>
          <w:color w:val="000000"/>
        </w:rPr>
        <w:t>were the same as for the Supply Table</w:t>
      </w:r>
      <w:r w:rsidR="00EE580D" w:rsidRPr="007C3FF5">
        <w:rPr>
          <w:rFonts w:ascii="Times New Roman" w:hAnsi="Times New Roman"/>
          <w:color w:val="000000"/>
        </w:rPr>
        <w:t xml:space="preserve">.  </w:t>
      </w:r>
    </w:p>
    <w:p w:rsidR="00C941FB" w:rsidRPr="007C3FF5" w:rsidRDefault="00C941FB" w:rsidP="00C941FB">
      <w:pPr>
        <w:pStyle w:val="NoSpacing"/>
        <w:spacing w:line="276" w:lineRule="auto"/>
        <w:ind w:left="426"/>
        <w:jc w:val="both"/>
        <w:rPr>
          <w:rFonts w:ascii="Times New Roman" w:hAnsi="Times New Roman"/>
          <w:color w:val="000000"/>
        </w:rPr>
      </w:pPr>
    </w:p>
    <w:p w:rsidR="001C5A54" w:rsidRPr="007C3FF5" w:rsidRDefault="001C5A54" w:rsidP="00C941FB">
      <w:pPr>
        <w:pStyle w:val="NoSpacing"/>
        <w:spacing w:line="276" w:lineRule="auto"/>
        <w:ind w:left="426"/>
        <w:jc w:val="both"/>
        <w:rPr>
          <w:rFonts w:ascii="Times New Roman" w:hAnsi="Times New Roman"/>
          <w:color w:val="000000"/>
        </w:rPr>
      </w:pPr>
      <w:r w:rsidRPr="007C3FF5">
        <w:rPr>
          <w:rFonts w:ascii="Times New Roman" w:hAnsi="Times New Roman"/>
          <w:color w:val="000000"/>
        </w:rPr>
        <w:t>The</w:t>
      </w:r>
      <w:r w:rsidR="00EE580D" w:rsidRPr="007C3FF5">
        <w:rPr>
          <w:rFonts w:ascii="Times New Roman" w:hAnsi="Times New Roman"/>
          <w:color w:val="000000"/>
        </w:rPr>
        <w:t xml:space="preserve">se totals then needed to be </w:t>
      </w:r>
      <w:r w:rsidRPr="007C3FF5">
        <w:rPr>
          <w:rFonts w:ascii="Times New Roman" w:hAnsi="Times New Roman"/>
          <w:color w:val="000000"/>
        </w:rPr>
        <w:t>disaggregate</w:t>
      </w:r>
      <w:r w:rsidR="00EE580D" w:rsidRPr="007C3FF5">
        <w:rPr>
          <w:rFonts w:ascii="Times New Roman" w:hAnsi="Times New Roman"/>
          <w:color w:val="000000"/>
        </w:rPr>
        <w:t xml:space="preserve">d to </w:t>
      </w:r>
      <w:r w:rsidRPr="007C3FF5">
        <w:rPr>
          <w:rFonts w:ascii="Times New Roman" w:hAnsi="Times New Roman"/>
          <w:color w:val="000000"/>
        </w:rPr>
        <w:t xml:space="preserve">the full 110 product level used in the Supply and Use Tables. </w:t>
      </w:r>
      <w:r w:rsidR="00AE1920" w:rsidRPr="007C3FF5">
        <w:rPr>
          <w:rFonts w:ascii="Times New Roman" w:hAnsi="Times New Roman"/>
          <w:color w:val="000000"/>
        </w:rPr>
        <w:t xml:space="preserve"> </w:t>
      </w:r>
      <w:r w:rsidR="00862524" w:rsidRPr="007C3FF5">
        <w:rPr>
          <w:rFonts w:ascii="Times New Roman" w:hAnsi="Times New Roman"/>
          <w:color w:val="000000"/>
        </w:rPr>
        <w:t>T</w:t>
      </w:r>
      <w:r w:rsidRPr="007C3FF5">
        <w:rPr>
          <w:rFonts w:ascii="Times New Roman" w:hAnsi="Times New Roman"/>
          <w:color w:val="000000"/>
        </w:rPr>
        <w:t xml:space="preserve">he preferred approach would be to use detailed information on purchases by companies operating in Northern Ireland from </w:t>
      </w:r>
      <w:r w:rsidR="00AE1920" w:rsidRPr="007C3FF5">
        <w:rPr>
          <w:rFonts w:ascii="Times New Roman" w:hAnsi="Times New Roman"/>
          <w:color w:val="000000"/>
        </w:rPr>
        <w:t>a</w:t>
      </w:r>
      <w:r w:rsidR="00862524" w:rsidRPr="007C3FF5">
        <w:rPr>
          <w:rFonts w:ascii="Times New Roman" w:hAnsi="Times New Roman"/>
          <w:color w:val="000000"/>
        </w:rPr>
        <w:t xml:space="preserve"> Purchases Inquiry.  Unfortunately,</w:t>
      </w:r>
      <w:r w:rsidRPr="007C3FF5">
        <w:rPr>
          <w:rFonts w:ascii="Times New Roman" w:hAnsi="Times New Roman"/>
          <w:color w:val="000000"/>
        </w:rPr>
        <w:t xml:space="preserve"> the results from the most recent Purchases Inquiry are now several years out of date and some industries are not covered by the Purchase Inquiry (or if they are, the sample size is too small to get an accurate picture of purchases for Northern </w:t>
      </w:r>
      <w:r w:rsidR="00E354D8" w:rsidRPr="007C3FF5">
        <w:rPr>
          <w:rFonts w:ascii="Times New Roman" w:hAnsi="Times New Roman"/>
          <w:color w:val="000000"/>
        </w:rPr>
        <w:t>Ireland</w:t>
      </w:r>
      <w:r w:rsidRPr="007C3FF5">
        <w:rPr>
          <w:rFonts w:ascii="Times New Roman" w:hAnsi="Times New Roman"/>
          <w:color w:val="000000"/>
        </w:rPr>
        <w:t xml:space="preserve"> companies in that industry).  So, in the absence of </w:t>
      </w:r>
      <w:r w:rsidR="00862524" w:rsidRPr="007C3FF5">
        <w:rPr>
          <w:rFonts w:ascii="Times New Roman" w:hAnsi="Times New Roman"/>
          <w:color w:val="000000"/>
        </w:rPr>
        <w:t>such</w:t>
      </w:r>
      <w:r w:rsidRPr="007C3FF5">
        <w:rPr>
          <w:rFonts w:ascii="Times New Roman" w:hAnsi="Times New Roman"/>
          <w:color w:val="000000"/>
        </w:rPr>
        <w:t xml:space="preserve"> data, </w:t>
      </w:r>
      <w:r w:rsidR="00862524" w:rsidRPr="007C3FF5">
        <w:rPr>
          <w:rFonts w:ascii="Times New Roman" w:hAnsi="Times New Roman"/>
          <w:color w:val="000000"/>
        </w:rPr>
        <w:t xml:space="preserve">results from the ABI for purchases of goods, materials, energy and services were used instead, with allocations to detailed product categories based on </w:t>
      </w:r>
      <w:r w:rsidRPr="007C3FF5">
        <w:rPr>
          <w:rFonts w:ascii="Times New Roman" w:hAnsi="Times New Roman"/>
          <w:color w:val="000000"/>
        </w:rPr>
        <w:t xml:space="preserve">proportions derived from the UK </w:t>
      </w:r>
      <w:r w:rsidR="00E47B8F" w:rsidRPr="007C3FF5">
        <w:rPr>
          <w:rFonts w:ascii="Times New Roman" w:hAnsi="Times New Roman"/>
          <w:color w:val="000000"/>
        </w:rPr>
        <w:t>intermediate consumption matrix</w:t>
      </w:r>
      <w:r w:rsidRPr="007C3FF5">
        <w:rPr>
          <w:rFonts w:ascii="Times New Roman" w:hAnsi="Times New Roman"/>
          <w:color w:val="000000"/>
        </w:rPr>
        <w:t xml:space="preserve">. </w:t>
      </w:r>
    </w:p>
    <w:p w:rsidR="00E354D8" w:rsidRPr="007C3FF5" w:rsidRDefault="00E354D8" w:rsidP="00C941FB">
      <w:pPr>
        <w:pStyle w:val="NoSpacing"/>
        <w:spacing w:line="276" w:lineRule="auto"/>
        <w:ind w:left="426"/>
        <w:jc w:val="both"/>
        <w:rPr>
          <w:rFonts w:ascii="Times New Roman" w:hAnsi="Times New Roman"/>
          <w:color w:val="000000"/>
        </w:rPr>
      </w:pPr>
    </w:p>
    <w:p w:rsidR="00A71EBE" w:rsidRPr="007C3FF5" w:rsidRDefault="00A71EBE" w:rsidP="00E354D8">
      <w:pPr>
        <w:pStyle w:val="Heading2"/>
        <w:ind w:left="426"/>
        <w:rPr>
          <w:rFonts w:ascii="Times New Roman" w:hAnsi="Times New Roman" w:cs="Times New Roman"/>
          <w:lang w:bidi="ar-SA"/>
        </w:rPr>
      </w:pPr>
      <w:bookmarkStart w:id="29" w:name="_Toc383010495"/>
      <w:r w:rsidRPr="007C3FF5">
        <w:rPr>
          <w:rFonts w:ascii="Times New Roman" w:hAnsi="Times New Roman" w:cs="Times New Roman"/>
          <w:lang w:bidi="ar-SA"/>
        </w:rPr>
        <w:t>Income components</w:t>
      </w:r>
      <w:r w:rsidR="001E594F" w:rsidRPr="007C3FF5">
        <w:rPr>
          <w:rFonts w:ascii="Times New Roman" w:hAnsi="Times New Roman" w:cs="Times New Roman"/>
          <w:lang w:bidi="ar-SA"/>
        </w:rPr>
        <w:t xml:space="preserve"> – primary inputs</w:t>
      </w:r>
      <w:bookmarkEnd w:id="29"/>
    </w:p>
    <w:p w:rsidR="00E354D8" w:rsidRPr="007C3FF5" w:rsidRDefault="00E354D8" w:rsidP="00E354D8">
      <w:pPr>
        <w:pStyle w:val="NoSpacing"/>
        <w:spacing w:line="276" w:lineRule="auto"/>
        <w:ind w:left="426"/>
        <w:jc w:val="both"/>
        <w:rPr>
          <w:rFonts w:ascii="Times New Roman" w:hAnsi="Times New Roman"/>
          <w:color w:val="000000"/>
        </w:rPr>
      </w:pPr>
    </w:p>
    <w:p w:rsidR="00F7594A" w:rsidRPr="007C3FF5" w:rsidRDefault="00F7594A" w:rsidP="00E354D8">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non-government industries, the primary income components </w:t>
      </w:r>
      <w:r w:rsidR="00963BA2" w:rsidRPr="007C3FF5">
        <w:rPr>
          <w:rFonts w:ascii="Times New Roman" w:hAnsi="Times New Roman"/>
          <w:color w:val="000000"/>
        </w:rPr>
        <w:t xml:space="preserve">(taxes less subsidies on production, compensation of employees, mixed income and GVA) </w:t>
      </w:r>
      <w:r w:rsidRPr="007C3FF5">
        <w:rPr>
          <w:rFonts w:ascii="Times New Roman" w:hAnsi="Times New Roman"/>
          <w:color w:val="000000"/>
        </w:rPr>
        <w:t>were sourced from the ABI</w:t>
      </w:r>
      <w:r w:rsidR="006C0E3E" w:rsidRPr="007C3FF5">
        <w:rPr>
          <w:rFonts w:ascii="Times New Roman" w:hAnsi="Times New Roman"/>
          <w:color w:val="000000"/>
        </w:rPr>
        <w:t xml:space="preserve"> and the DARD survey of the agriculture industry</w:t>
      </w:r>
      <w:r w:rsidRPr="007C3FF5">
        <w:rPr>
          <w:rFonts w:ascii="Times New Roman" w:hAnsi="Times New Roman"/>
          <w:color w:val="000000"/>
        </w:rPr>
        <w:t>.  For government industries</w:t>
      </w:r>
      <w:r w:rsidR="00BB2B46" w:rsidRPr="007C3FF5">
        <w:rPr>
          <w:rFonts w:ascii="Times New Roman" w:hAnsi="Times New Roman"/>
          <w:color w:val="000000"/>
        </w:rPr>
        <w:t xml:space="preserve"> and further education</w:t>
      </w:r>
      <w:r w:rsidRPr="007C3FF5">
        <w:rPr>
          <w:rFonts w:ascii="Times New Roman" w:hAnsi="Times New Roman"/>
          <w:color w:val="000000"/>
        </w:rPr>
        <w:t>, pay and</w:t>
      </w:r>
      <w:r w:rsidR="00BB2B46" w:rsidRPr="007C3FF5">
        <w:rPr>
          <w:rFonts w:ascii="Times New Roman" w:hAnsi="Times New Roman"/>
          <w:color w:val="000000"/>
        </w:rPr>
        <w:t xml:space="preserve"> capi</w:t>
      </w:r>
      <w:r w:rsidR="00CD2FAB" w:rsidRPr="007C3FF5">
        <w:rPr>
          <w:rFonts w:ascii="Times New Roman" w:hAnsi="Times New Roman"/>
          <w:color w:val="000000"/>
        </w:rPr>
        <w:t xml:space="preserve">tal consumption were </w:t>
      </w:r>
      <w:r w:rsidR="00963BA2" w:rsidRPr="007C3FF5">
        <w:rPr>
          <w:rFonts w:ascii="Times New Roman" w:hAnsi="Times New Roman"/>
          <w:color w:val="000000"/>
        </w:rPr>
        <w:t>sourced</w:t>
      </w:r>
      <w:r w:rsidR="00CD2FAB" w:rsidRPr="007C3FF5">
        <w:rPr>
          <w:rFonts w:ascii="Times New Roman" w:hAnsi="Times New Roman"/>
          <w:color w:val="000000"/>
        </w:rPr>
        <w:t xml:space="preserve"> from COINS/OSCAR and annual accounts.  Pay and capital consumption for charities and trade unions were assumed to be in the same proportions as </w:t>
      </w:r>
      <w:r w:rsidR="00963BA2" w:rsidRPr="007C3FF5">
        <w:rPr>
          <w:rFonts w:ascii="Times New Roman" w:hAnsi="Times New Roman"/>
          <w:color w:val="000000"/>
        </w:rPr>
        <w:t>for further education institutions.</w:t>
      </w:r>
    </w:p>
    <w:p w:rsidR="00E354D8" w:rsidRPr="007C3FF5" w:rsidRDefault="00E354D8" w:rsidP="00E354D8">
      <w:pPr>
        <w:pStyle w:val="NoSpacing"/>
        <w:spacing w:line="276" w:lineRule="auto"/>
        <w:ind w:left="426"/>
        <w:jc w:val="both"/>
        <w:rPr>
          <w:rFonts w:ascii="Times New Roman" w:hAnsi="Times New Roman"/>
          <w:color w:val="000000"/>
        </w:rPr>
      </w:pPr>
    </w:p>
    <w:p w:rsidR="00227D81" w:rsidRPr="007C3FF5" w:rsidRDefault="00A66F4F" w:rsidP="00E354D8">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w:t>
      </w:r>
      <w:r w:rsidR="006C0E3E" w:rsidRPr="007C3FF5">
        <w:rPr>
          <w:rFonts w:ascii="Times New Roman" w:hAnsi="Times New Roman"/>
          <w:color w:val="000000"/>
        </w:rPr>
        <w:t xml:space="preserve">DARD, </w:t>
      </w:r>
      <w:r w:rsidRPr="007C3FF5">
        <w:rPr>
          <w:rFonts w:ascii="Times New Roman" w:hAnsi="Times New Roman"/>
          <w:color w:val="000000"/>
        </w:rPr>
        <w:t xml:space="preserve">ABI </w:t>
      </w:r>
      <w:r w:rsidR="00963BA2" w:rsidRPr="007C3FF5">
        <w:rPr>
          <w:rFonts w:ascii="Times New Roman" w:hAnsi="Times New Roman"/>
          <w:color w:val="000000"/>
        </w:rPr>
        <w:t xml:space="preserve">and NPISH data </w:t>
      </w:r>
      <w:r w:rsidR="00A71EBE" w:rsidRPr="007C3FF5">
        <w:rPr>
          <w:rFonts w:ascii="Times New Roman" w:hAnsi="Times New Roman"/>
          <w:color w:val="000000"/>
        </w:rPr>
        <w:t xml:space="preserve">were constrained to match the Regional Accounts totals </w:t>
      </w:r>
      <w:r w:rsidR="00963BA2" w:rsidRPr="007C3FF5">
        <w:rPr>
          <w:rFonts w:ascii="Times New Roman" w:hAnsi="Times New Roman"/>
          <w:color w:val="000000"/>
        </w:rPr>
        <w:t xml:space="preserve">(after deducting the government elements) </w:t>
      </w:r>
      <w:r w:rsidR="00A71EBE" w:rsidRPr="007C3FF5">
        <w:rPr>
          <w:rFonts w:ascii="Times New Roman" w:hAnsi="Times New Roman"/>
          <w:color w:val="000000"/>
        </w:rPr>
        <w:t>by SIC section (e</w:t>
      </w:r>
      <w:r w:rsidR="00E354D8" w:rsidRPr="007C3FF5">
        <w:rPr>
          <w:rFonts w:ascii="Times New Roman" w:hAnsi="Times New Roman"/>
          <w:color w:val="000000"/>
        </w:rPr>
        <w:t>.</w:t>
      </w:r>
      <w:r w:rsidR="00A71EBE" w:rsidRPr="007C3FF5">
        <w:rPr>
          <w:rFonts w:ascii="Times New Roman" w:hAnsi="Times New Roman"/>
          <w:color w:val="000000"/>
        </w:rPr>
        <w:t>g</w:t>
      </w:r>
      <w:r w:rsidR="00E354D8" w:rsidRPr="007C3FF5">
        <w:rPr>
          <w:rFonts w:ascii="Times New Roman" w:hAnsi="Times New Roman"/>
          <w:color w:val="000000"/>
        </w:rPr>
        <w:t>.</w:t>
      </w:r>
      <w:r w:rsidR="00A71EBE" w:rsidRPr="007C3FF5">
        <w:rPr>
          <w:rFonts w:ascii="Times New Roman" w:hAnsi="Times New Roman"/>
          <w:color w:val="000000"/>
        </w:rPr>
        <w:t xml:space="preserve"> manufacturing, construction).  </w:t>
      </w:r>
    </w:p>
    <w:p w:rsidR="001C5A54" w:rsidRPr="007C3FF5" w:rsidRDefault="001C5A54" w:rsidP="00CE2908">
      <w:pPr>
        <w:pStyle w:val="Heading2"/>
        <w:ind w:left="426"/>
        <w:rPr>
          <w:rFonts w:ascii="Times New Roman" w:hAnsi="Times New Roman" w:cs="Times New Roman"/>
          <w:lang w:bidi="ar-SA"/>
        </w:rPr>
      </w:pPr>
      <w:bookmarkStart w:id="30" w:name="_Toc383010496"/>
      <w:r w:rsidRPr="007C3FF5">
        <w:rPr>
          <w:rFonts w:ascii="Times New Roman" w:hAnsi="Times New Roman" w:cs="Times New Roman"/>
          <w:lang w:bidi="ar-SA"/>
        </w:rPr>
        <w:t>Final Demand</w:t>
      </w:r>
      <w:bookmarkEnd w:id="30"/>
      <w:r w:rsidRPr="007C3FF5">
        <w:rPr>
          <w:rFonts w:ascii="Times New Roman" w:hAnsi="Times New Roman" w:cs="Times New Roman"/>
          <w:lang w:bidi="ar-SA"/>
        </w:rPr>
        <w:t xml:space="preserve"> </w:t>
      </w:r>
    </w:p>
    <w:p w:rsidR="001C5A54" w:rsidRPr="007C3FF5" w:rsidRDefault="001C5A54" w:rsidP="00CE2908">
      <w:pPr>
        <w:pStyle w:val="Heading3"/>
        <w:rPr>
          <w:rFonts w:ascii="Times New Roman" w:hAnsi="Times New Roman" w:cs="Times New Roman"/>
          <w:lang w:bidi="ar-SA"/>
        </w:rPr>
      </w:pPr>
      <w:bookmarkStart w:id="31" w:name="_Toc383010497"/>
      <w:r w:rsidRPr="007C3FF5">
        <w:rPr>
          <w:rFonts w:ascii="Times New Roman" w:hAnsi="Times New Roman" w:cs="Times New Roman"/>
          <w:lang w:bidi="ar-SA"/>
        </w:rPr>
        <w:t>Household Final Consumption Expenditure (HHFC</w:t>
      </w:r>
      <w:r w:rsidR="00A66F4F" w:rsidRPr="007C3FF5">
        <w:rPr>
          <w:rFonts w:ascii="Times New Roman" w:hAnsi="Times New Roman" w:cs="Times New Roman"/>
          <w:lang w:bidi="ar-SA"/>
        </w:rPr>
        <w:t>E</w:t>
      </w:r>
      <w:r w:rsidRPr="007C3FF5">
        <w:rPr>
          <w:rFonts w:ascii="Times New Roman" w:hAnsi="Times New Roman" w:cs="Times New Roman"/>
          <w:lang w:bidi="ar-SA"/>
        </w:rPr>
        <w:t>)</w:t>
      </w:r>
      <w:bookmarkEnd w:id="31"/>
      <w:r w:rsidRPr="007C3FF5">
        <w:rPr>
          <w:rFonts w:ascii="Times New Roman" w:hAnsi="Times New Roman" w:cs="Times New Roman"/>
          <w:lang w:bidi="ar-SA"/>
        </w:rPr>
        <w:t xml:space="preserve"> </w:t>
      </w:r>
    </w:p>
    <w:p w:rsidR="00CE2908" w:rsidRPr="007C3FF5" w:rsidRDefault="00CE2908" w:rsidP="00CE2908">
      <w:pPr>
        <w:pStyle w:val="NoSpacing"/>
        <w:keepNext/>
        <w:spacing w:line="276" w:lineRule="auto"/>
        <w:ind w:left="426"/>
        <w:jc w:val="both"/>
        <w:rPr>
          <w:rFonts w:ascii="Times New Roman" w:hAnsi="Times New Roman"/>
          <w:color w:val="000000"/>
        </w:rPr>
      </w:pPr>
    </w:p>
    <w:p w:rsidR="00D41B0A" w:rsidRPr="007C3FF5" w:rsidRDefault="001C5A54" w:rsidP="00CE2908">
      <w:pPr>
        <w:pStyle w:val="NoSpacing"/>
        <w:keepNext/>
        <w:spacing w:line="276" w:lineRule="auto"/>
        <w:ind w:left="426"/>
        <w:jc w:val="both"/>
        <w:rPr>
          <w:rFonts w:ascii="Times New Roman" w:hAnsi="Times New Roman"/>
          <w:color w:val="000000"/>
        </w:rPr>
      </w:pPr>
      <w:r w:rsidRPr="007C3FF5">
        <w:rPr>
          <w:rFonts w:ascii="Times New Roman" w:hAnsi="Times New Roman"/>
          <w:color w:val="000000"/>
        </w:rPr>
        <w:t xml:space="preserve">The starting point for this column is a dataset taken from the </w:t>
      </w:r>
      <w:r w:rsidR="005C3F60" w:rsidRPr="007C3FF5">
        <w:rPr>
          <w:rFonts w:ascii="Times New Roman" w:hAnsi="Times New Roman"/>
          <w:color w:val="000000"/>
        </w:rPr>
        <w:t>Living Costs and Food Survey regional analys</w:t>
      </w:r>
      <w:r w:rsidR="00E53EF6" w:rsidRPr="007C3FF5">
        <w:rPr>
          <w:rFonts w:ascii="Times New Roman" w:hAnsi="Times New Roman"/>
          <w:color w:val="000000"/>
        </w:rPr>
        <w:t xml:space="preserve">is of expenditure by </w:t>
      </w:r>
      <w:r w:rsidRPr="007C3FF5">
        <w:rPr>
          <w:rFonts w:ascii="Times New Roman" w:hAnsi="Times New Roman"/>
          <w:color w:val="000000"/>
        </w:rPr>
        <w:t>Northern Ir</w:t>
      </w:r>
      <w:r w:rsidR="00E53EF6" w:rsidRPr="007C3FF5">
        <w:rPr>
          <w:rFonts w:ascii="Times New Roman" w:hAnsi="Times New Roman"/>
          <w:color w:val="000000"/>
        </w:rPr>
        <w:t>eland residents</w:t>
      </w:r>
      <w:r w:rsidR="008B172E" w:rsidRPr="007C3FF5">
        <w:rPr>
          <w:rFonts w:ascii="Times New Roman" w:hAnsi="Times New Roman"/>
          <w:color w:val="000000"/>
        </w:rPr>
        <w:t>, averaged over three years (2009 to 2011) because of relatively small sample sizes</w:t>
      </w:r>
      <w:r w:rsidR="00E53EF6" w:rsidRPr="007C3FF5">
        <w:rPr>
          <w:rFonts w:ascii="Times New Roman" w:hAnsi="Times New Roman"/>
          <w:color w:val="000000"/>
        </w:rPr>
        <w:t xml:space="preserve">.  </w:t>
      </w:r>
      <w:r w:rsidRPr="007C3FF5">
        <w:rPr>
          <w:rFonts w:ascii="Times New Roman" w:hAnsi="Times New Roman"/>
          <w:color w:val="000000"/>
        </w:rPr>
        <w:t xml:space="preserve">These data provide estimates of total household final consumption expenditure for Northern Ireland </w:t>
      </w:r>
      <w:r w:rsidR="00E47B8F" w:rsidRPr="007C3FF5">
        <w:rPr>
          <w:rFonts w:ascii="Times New Roman" w:hAnsi="Times New Roman"/>
          <w:color w:val="000000"/>
        </w:rPr>
        <w:t xml:space="preserve">and the UK </w:t>
      </w:r>
      <w:r w:rsidRPr="007C3FF5">
        <w:rPr>
          <w:rFonts w:ascii="Times New Roman" w:hAnsi="Times New Roman"/>
          <w:color w:val="000000"/>
        </w:rPr>
        <w:t xml:space="preserve">classified by COICOP (Classification of Individual Consumption according to Purpose). </w:t>
      </w:r>
      <w:r w:rsidR="00D41B0A" w:rsidRPr="007C3FF5">
        <w:rPr>
          <w:rFonts w:ascii="Times New Roman" w:hAnsi="Times New Roman"/>
          <w:color w:val="000000"/>
        </w:rPr>
        <w:t xml:space="preserve"> Expenditure in NI as a proportion of total UK expenditure was calculated for each COICOP category.  </w:t>
      </w:r>
    </w:p>
    <w:p w:rsidR="00CE2908" w:rsidRPr="007C3FF5" w:rsidRDefault="00CE2908" w:rsidP="00CE2908">
      <w:pPr>
        <w:pStyle w:val="NoSpacing"/>
        <w:spacing w:line="276" w:lineRule="auto"/>
        <w:ind w:left="426"/>
        <w:jc w:val="both"/>
        <w:rPr>
          <w:rFonts w:ascii="Times New Roman" w:hAnsi="Times New Roman"/>
          <w:color w:val="000000"/>
        </w:rPr>
      </w:pPr>
    </w:p>
    <w:p w:rsidR="00D41B0A" w:rsidRPr="007C3FF5" w:rsidRDefault="00D41B0A" w:rsidP="00CE2908">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These proportions were then applied to household final consumption expenditure </w:t>
      </w:r>
      <w:r w:rsidR="00F9062C" w:rsidRPr="007C3FF5">
        <w:rPr>
          <w:rFonts w:ascii="Times New Roman" w:hAnsi="Times New Roman"/>
          <w:color w:val="000000"/>
        </w:rPr>
        <w:t xml:space="preserve">in the UK (excluding expenditure by foreign visitors to the UK) </w:t>
      </w:r>
      <w:r w:rsidRPr="007C3FF5">
        <w:rPr>
          <w:rFonts w:ascii="Times New Roman" w:hAnsi="Times New Roman"/>
          <w:color w:val="000000"/>
        </w:rPr>
        <w:t xml:space="preserve">classified by COICOP to give NI HHFCE by COICOP.  Generally, this resulted in higher estimates of NI HHFCE than would have been obtained by grossing the LCF weekly expenditure per household by the number of household in NI.  This may be due to under-reporting of relatively infrequent purchases; but </w:t>
      </w:r>
      <w:r w:rsidR="00F9062C" w:rsidRPr="007C3FF5">
        <w:rPr>
          <w:rFonts w:ascii="Times New Roman" w:hAnsi="Times New Roman"/>
          <w:color w:val="000000"/>
        </w:rPr>
        <w:t xml:space="preserve">it </w:t>
      </w:r>
      <w:r w:rsidRPr="007C3FF5">
        <w:rPr>
          <w:rFonts w:ascii="Times New Roman" w:hAnsi="Times New Roman"/>
          <w:color w:val="000000"/>
        </w:rPr>
        <w:t xml:space="preserve">is also due to </w:t>
      </w:r>
      <w:r w:rsidR="00F9062C" w:rsidRPr="007C3FF5">
        <w:rPr>
          <w:rFonts w:ascii="Times New Roman" w:hAnsi="Times New Roman"/>
          <w:color w:val="000000"/>
        </w:rPr>
        <w:t xml:space="preserve">differences in coverage in that the LCF only covers private households, whereas HHFCE figures also include expenditure by residents of communal establishments, such as university halls of residence and nursing homes.  </w:t>
      </w:r>
      <w:r w:rsidR="00D30E3E" w:rsidRPr="007C3FF5">
        <w:rPr>
          <w:rFonts w:ascii="Times New Roman" w:hAnsi="Times New Roman"/>
          <w:color w:val="000000"/>
        </w:rPr>
        <w:t>An adjustment is made to accommodation services to take account of expenditure by resid</w:t>
      </w:r>
      <w:r w:rsidR="00D767D6" w:rsidRPr="007C3FF5">
        <w:rPr>
          <w:rFonts w:ascii="Times New Roman" w:hAnsi="Times New Roman"/>
          <w:color w:val="000000"/>
        </w:rPr>
        <w:t>ents of communal establishments; it is</w:t>
      </w:r>
      <w:r w:rsidR="00D30E3E" w:rsidRPr="007C3FF5">
        <w:rPr>
          <w:rFonts w:ascii="Times New Roman" w:hAnsi="Times New Roman"/>
          <w:color w:val="000000"/>
        </w:rPr>
        <w:t xml:space="preserve"> calculated as follows:</w:t>
      </w:r>
    </w:p>
    <w:p w:rsidR="00CE2908" w:rsidRPr="007C3FF5" w:rsidRDefault="00CE2908" w:rsidP="00CE2908">
      <w:pPr>
        <w:pStyle w:val="NoSpacing"/>
        <w:spacing w:line="276" w:lineRule="auto"/>
        <w:ind w:left="426"/>
        <w:jc w:val="both"/>
        <w:rPr>
          <w:rFonts w:ascii="Times New Roman" w:hAnsi="Times New Roman"/>
          <w:color w:val="000000"/>
        </w:rPr>
      </w:pPr>
    </w:p>
    <w:p w:rsidR="00D30E3E" w:rsidRPr="007C3FF5" w:rsidRDefault="00D30E3E" w:rsidP="00225BB1">
      <w:pPr>
        <w:pStyle w:val="NoSpacing"/>
        <w:numPr>
          <w:ilvl w:val="0"/>
          <w:numId w:val="6"/>
        </w:numPr>
        <w:spacing w:line="276" w:lineRule="auto"/>
        <w:jc w:val="both"/>
        <w:rPr>
          <w:rFonts w:ascii="Times New Roman" w:hAnsi="Times New Roman"/>
        </w:rPr>
      </w:pPr>
      <w:r w:rsidRPr="007C3FF5">
        <w:rPr>
          <w:rFonts w:ascii="Times New Roman" w:hAnsi="Times New Roman"/>
        </w:rPr>
        <w:t>For university students,</w:t>
      </w:r>
      <w:r w:rsidR="00117A4B" w:rsidRPr="007C3FF5">
        <w:rPr>
          <w:rFonts w:ascii="Times New Roman" w:hAnsi="Times New Roman"/>
        </w:rPr>
        <w:t xml:space="preserve"> the number of beds in halls of</w:t>
      </w:r>
      <w:r w:rsidRPr="007C3FF5">
        <w:rPr>
          <w:rFonts w:ascii="Times New Roman" w:hAnsi="Times New Roman"/>
        </w:rPr>
        <w:t xml:space="preserve"> residence and their cost was obtained from </w:t>
      </w:r>
      <w:r w:rsidR="007C160D" w:rsidRPr="007C3FF5">
        <w:rPr>
          <w:rFonts w:ascii="Times New Roman" w:hAnsi="Times New Roman"/>
        </w:rPr>
        <w:t>their websites for 2013/14; this was deflated to 2010 prices using the UK consumer prices index (CPI) index for university accommodation costs;</w:t>
      </w:r>
      <w:r w:rsidR="00117A4B" w:rsidRPr="007C3FF5">
        <w:rPr>
          <w:rFonts w:ascii="Times New Roman" w:hAnsi="Times New Roman"/>
        </w:rPr>
        <w:t xml:space="preserve"> and</w:t>
      </w:r>
    </w:p>
    <w:p w:rsidR="007C160D" w:rsidRPr="007C3FF5" w:rsidRDefault="007C160D"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The number of residents in nursing and care homes was obtained from the 2011 census; and the average weekly cost was obtained from the </w:t>
      </w:r>
      <w:r w:rsidR="000A0E63" w:rsidRPr="007C3FF5">
        <w:rPr>
          <w:rFonts w:ascii="Times New Roman" w:hAnsi="Times New Roman"/>
        </w:rPr>
        <w:t xml:space="preserve">prices collected for the </w:t>
      </w:r>
      <w:r w:rsidRPr="007C3FF5">
        <w:rPr>
          <w:rFonts w:ascii="Times New Roman" w:hAnsi="Times New Roman"/>
        </w:rPr>
        <w:t>CPI for July 2010.</w:t>
      </w:r>
    </w:p>
    <w:p w:rsidR="00117A4B" w:rsidRPr="007C3FF5" w:rsidRDefault="00117A4B" w:rsidP="00CE2908">
      <w:pPr>
        <w:pStyle w:val="NoSpacing"/>
        <w:spacing w:line="276" w:lineRule="auto"/>
        <w:ind w:left="426"/>
        <w:jc w:val="both"/>
        <w:rPr>
          <w:rFonts w:ascii="Times New Roman" w:hAnsi="Times New Roman"/>
          <w:color w:val="000000"/>
        </w:rPr>
      </w:pPr>
    </w:p>
    <w:p w:rsidR="00004571" w:rsidRPr="007C3FF5" w:rsidRDefault="00F9062C" w:rsidP="00CE2908">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Expenditure by COICOP </w:t>
      </w:r>
      <w:r w:rsidR="001E594F" w:rsidRPr="007C3FF5">
        <w:rPr>
          <w:rFonts w:ascii="Times New Roman" w:hAnsi="Times New Roman"/>
          <w:color w:val="000000"/>
        </w:rPr>
        <w:t>was</w:t>
      </w:r>
      <w:r w:rsidR="00D41B0A" w:rsidRPr="007C3FF5">
        <w:rPr>
          <w:rFonts w:ascii="Times New Roman" w:hAnsi="Times New Roman"/>
          <w:color w:val="000000"/>
        </w:rPr>
        <w:t xml:space="preserve"> </w:t>
      </w:r>
      <w:r w:rsidRPr="007C3FF5">
        <w:rPr>
          <w:rFonts w:ascii="Times New Roman" w:hAnsi="Times New Roman"/>
          <w:color w:val="000000"/>
        </w:rPr>
        <w:t>conver</w:t>
      </w:r>
      <w:r w:rsidR="001E594F" w:rsidRPr="007C3FF5">
        <w:rPr>
          <w:rFonts w:ascii="Times New Roman" w:hAnsi="Times New Roman"/>
          <w:color w:val="000000"/>
        </w:rPr>
        <w:t xml:space="preserve">ted </w:t>
      </w:r>
      <w:r w:rsidR="001C5A54" w:rsidRPr="007C3FF5">
        <w:rPr>
          <w:rFonts w:ascii="Times New Roman" w:hAnsi="Times New Roman"/>
          <w:color w:val="000000"/>
        </w:rPr>
        <w:t xml:space="preserve">to </w:t>
      </w:r>
      <w:r w:rsidRPr="007C3FF5">
        <w:rPr>
          <w:rFonts w:ascii="Times New Roman" w:hAnsi="Times New Roman"/>
          <w:color w:val="000000"/>
        </w:rPr>
        <w:t xml:space="preserve">expenditure </w:t>
      </w:r>
      <w:r w:rsidR="001C5A54" w:rsidRPr="007C3FF5">
        <w:rPr>
          <w:rFonts w:ascii="Times New Roman" w:hAnsi="Times New Roman"/>
          <w:color w:val="000000"/>
        </w:rPr>
        <w:t xml:space="preserve">by </w:t>
      </w:r>
      <w:r w:rsidR="00E77B26" w:rsidRPr="007C3FF5">
        <w:rPr>
          <w:rFonts w:ascii="Times New Roman" w:hAnsi="Times New Roman"/>
          <w:color w:val="000000"/>
        </w:rPr>
        <w:t xml:space="preserve">SUT </w:t>
      </w:r>
      <w:r w:rsidR="001C5A54" w:rsidRPr="007C3FF5">
        <w:rPr>
          <w:rFonts w:ascii="Times New Roman" w:hAnsi="Times New Roman"/>
          <w:color w:val="000000"/>
        </w:rPr>
        <w:t xml:space="preserve">product </w:t>
      </w:r>
      <w:r w:rsidR="00E77B26" w:rsidRPr="007C3FF5">
        <w:rPr>
          <w:rFonts w:ascii="Times New Roman" w:hAnsi="Times New Roman"/>
          <w:color w:val="000000"/>
        </w:rPr>
        <w:t xml:space="preserve">category </w:t>
      </w:r>
      <w:r w:rsidR="001C5A54" w:rsidRPr="007C3FF5">
        <w:rPr>
          <w:rFonts w:ascii="Times New Roman" w:hAnsi="Times New Roman"/>
          <w:color w:val="000000"/>
        </w:rPr>
        <w:t>using the UK Household Final Consumption Expenditure table li</w:t>
      </w:r>
      <w:r w:rsidR="00E53EF6" w:rsidRPr="007C3FF5">
        <w:rPr>
          <w:rFonts w:ascii="Times New Roman" w:hAnsi="Times New Roman"/>
          <w:color w:val="000000"/>
        </w:rPr>
        <w:t>nking these two classifications.</w:t>
      </w:r>
      <w:r w:rsidR="00004571" w:rsidRPr="007C3FF5">
        <w:rPr>
          <w:rFonts w:ascii="Times New Roman" w:hAnsi="Times New Roman"/>
          <w:color w:val="000000"/>
        </w:rPr>
        <w:t xml:space="preserve">  For some products, there is a one-to-one correspondence between the COICOP category and the SUT product category code (e</w:t>
      </w:r>
      <w:r w:rsidR="00117A4B" w:rsidRPr="007C3FF5">
        <w:rPr>
          <w:rFonts w:ascii="Times New Roman" w:hAnsi="Times New Roman"/>
          <w:color w:val="000000"/>
        </w:rPr>
        <w:t>.</w:t>
      </w:r>
      <w:r w:rsidR="00004571" w:rsidRPr="007C3FF5">
        <w:rPr>
          <w:rFonts w:ascii="Times New Roman" w:hAnsi="Times New Roman"/>
          <w:color w:val="000000"/>
        </w:rPr>
        <w:t>g</w:t>
      </w:r>
      <w:r w:rsidR="00117A4B" w:rsidRPr="007C3FF5">
        <w:rPr>
          <w:rFonts w:ascii="Times New Roman" w:hAnsi="Times New Roman"/>
          <w:color w:val="000000"/>
        </w:rPr>
        <w:t>.</w:t>
      </w:r>
      <w:r w:rsidR="00004571" w:rsidRPr="007C3FF5">
        <w:rPr>
          <w:rFonts w:ascii="Times New Roman" w:hAnsi="Times New Roman"/>
          <w:color w:val="000000"/>
        </w:rPr>
        <w:t xml:space="preserve"> COICOP 07.2.2, motor fuels, maps directly to SIC product 19).  For other categories, the COICOP 4-digit expenditure codes from the LCF were distributed across the SUT product categories in the same proportions as for total UK expenditure.</w:t>
      </w:r>
    </w:p>
    <w:p w:rsidR="00CE2908" w:rsidRPr="007C3FF5" w:rsidRDefault="00CE2908" w:rsidP="00CE2908">
      <w:pPr>
        <w:pStyle w:val="NoSpacing"/>
        <w:spacing w:line="276" w:lineRule="auto"/>
        <w:ind w:left="426"/>
        <w:jc w:val="both"/>
        <w:rPr>
          <w:rFonts w:ascii="Times New Roman" w:hAnsi="Times New Roman"/>
          <w:color w:val="000000"/>
        </w:rPr>
      </w:pPr>
    </w:p>
    <w:p w:rsidR="00B1701B" w:rsidRPr="007C3FF5" w:rsidRDefault="00B1701B" w:rsidP="00CE2908">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In order to get to household final consumption expenditure on the national concept, it is necessary to add travel outside of the province by Northern Ireland residents.  </w:t>
      </w:r>
      <w:r w:rsidR="008B172E" w:rsidRPr="007C3FF5">
        <w:rPr>
          <w:rFonts w:ascii="Times New Roman" w:hAnsi="Times New Roman"/>
          <w:color w:val="000000"/>
        </w:rPr>
        <w:t>Separate totals are available for expenditure by Northern Ireland reside</w:t>
      </w:r>
      <w:r w:rsidR="00175FD6" w:rsidRPr="007C3FF5">
        <w:rPr>
          <w:rFonts w:ascii="Times New Roman" w:hAnsi="Times New Roman"/>
          <w:color w:val="000000"/>
        </w:rPr>
        <w:t xml:space="preserve">nts to GB, Republic of Ireland, </w:t>
      </w:r>
      <w:proofErr w:type="gramStart"/>
      <w:r w:rsidR="008B172E" w:rsidRPr="007C3FF5">
        <w:rPr>
          <w:rFonts w:ascii="Times New Roman" w:hAnsi="Times New Roman"/>
          <w:color w:val="000000"/>
        </w:rPr>
        <w:t>Rest</w:t>
      </w:r>
      <w:proofErr w:type="gramEnd"/>
      <w:r w:rsidR="00175FD6" w:rsidRPr="007C3FF5">
        <w:rPr>
          <w:rFonts w:ascii="Times New Roman" w:hAnsi="Times New Roman"/>
          <w:color w:val="000000"/>
        </w:rPr>
        <w:t xml:space="preserve"> </w:t>
      </w:r>
      <w:r w:rsidR="008B172E" w:rsidRPr="007C3FF5">
        <w:rPr>
          <w:rFonts w:ascii="Times New Roman" w:hAnsi="Times New Roman"/>
          <w:color w:val="000000"/>
        </w:rPr>
        <w:t>of the EU and Rest of the World.  These are apportioned to SUT product categories using percentage splits for the UK as follows:</w:t>
      </w:r>
    </w:p>
    <w:p w:rsidR="00CE2908" w:rsidRPr="007C3FF5" w:rsidRDefault="00CE2908" w:rsidP="00CE2908">
      <w:pPr>
        <w:pStyle w:val="NoSpacing"/>
        <w:spacing w:line="276" w:lineRule="auto"/>
        <w:ind w:left="426"/>
        <w:jc w:val="both"/>
        <w:rPr>
          <w:rFonts w:ascii="Times New Roman" w:hAnsi="Times New Roman"/>
          <w:color w:val="000000"/>
        </w:rPr>
      </w:pPr>
    </w:p>
    <w:p w:rsidR="008B172E" w:rsidRPr="007C3FF5" w:rsidRDefault="008B172E" w:rsidP="00225BB1">
      <w:pPr>
        <w:pStyle w:val="NoSpacing"/>
        <w:numPr>
          <w:ilvl w:val="0"/>
          <w:numId w:val="6"/>
        </w:numPr>
        <w:spacing w:line="276" w:lineRule="auto"/>
        <w:jc w:val="both"/>
        <w:rPr>
          <w:rFonts w:ascii="Times New Roman" w:hAnsi="Times New Roman"/>
        </w:rPr>
      </w:pPr>
      <w:r w:rsidRPr="007C3FF5">
        <w:rPr>
          <w:rFonts w:ascii="Times New Roman" w:hAnsi="Times New Roman"/>
        </w:rPr>
        <w:t>GB travel – in line with non-UK visitors’ expenditure in the UK</w:t>
      </w:r>
      <w:r w:rsidR="00117A4B" w:rsidRPr="007C3FF5">
        <w:rPr>
          <w:rFonts w:ascii="Times New Roman" w:hAnsi="Times New Roman"/>
        </w:rPr>
        <w:t>;</w:t>
      </w:r>
    </w:p>
    <w:p w:rsidR="008B172E" w:rsidRPr="007C3FF5" w:rsidRDefault="008B172E"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Republic of Ireland – in line with </w:t>
      </w:r>
      <w:proofErr w:type="spellStart"/>
      <w:r w:rsidRPr="007C3FF5">
        <w:rPr>
          <w:rFonts w:ascii="Times New Roman" w:hAnsi="Times New Roman"/>
        </w:rPr>
        <w:t>RoI</w:t>
      </w:r>
      <w:proofErr w:type="spellEnd"/>
      <w:r w:rsidRPr="007C3FF5">
        <w:rPr>
          <w:rFonts w:ascii="Times New Roman" w:hAnsi="Times New Roman"/>
        </w:rPr>
        <w:t xml:space="preserve"> expenditure on visits to Northern Ireland</w:t>
      </w:r>
      <w:r w:rsidR="00117A4B" w:rsidRPr="007C3FF5">
        <w:rPr>
          <w:rFonts w:ascii="Times New Roman" w:hAnsi="Times New Roman"/>
        </w:rPr>
        <w:t>; and</w:t>
      </w:r>
    </w:p>
    <w:p w:rsidR="008B172E" w:rsidRPr="007C3FF5" w:rsidRDefault="008B172E" w:rsidP="00225BB1">
      <w:pPr>
        <w:pStyle w:val="NoSpacing"/>
        <w:numPr>
          <w:ilvl w:val="0"/>
          <w:numId w:val="6"/>
        </w:numPr>
        <w:spacing w:line="276" w:lineRule="auto"/>
        <w:jc w:val="both"/>
        <w:rPr>
          <w:rFonts w:ascii="Times New Roman" w:hAnsi="Times New Roman"/>
        </w:rPr>
      </w:pPr>
      <w:r w:rsidRPr="007C3FF5">
        <w:rPr>
          <w:rFonts w:ascii="Times New Roman" w:hAnsi="Times New Roman"/>
        </w:rPr>
        <w:t>Non-UK travel – in line with expenditure overseas by UK residents.</w:t>
      </w:r>
    </w:p>
    <w:p w:rsidR="00117A4B" w:rsidRPr="007C3FF5" w:rsidRDefault="00117A4B" w:rsidP="00117A4B">
      <w:pPr>
        <w:pStyle w:val="NoSpacing"/>
        <w:spacing w:line="276" w:lineRule="auto"/>
        <w:ind w:left="426"/>
        <w:jc w:val="both"/>
        <w:rPr>
          <w:rFonts w:ascii="Times New Roman" w:hAnsi="Times New Roman"/>
          <w:color w:val="000000"/>
        </w:rPr>
      </w:pPr>
    </w:p>
    <w:p w:rsidR="00C56B7D" w:rsidRPr="007C3FF5" w:rsidRDefault="00C56B7D" w:rsidP="00117A4B">
      <w:pPr>
        <w:pStyle w:val="NoSpacing"/>
        <w:spacing w:line="276" w:lineRule="auto"/>
        <w:ind w:left="426"/>
        <w:jc w:val="both"/>
        <w:rPr>
          <w:rFonts w:ascii="Times New Roman" w:hAnsi="Times New Roman"/>
          <w:color w:val="000000"/>
        </w:rPr>
      </w:pPr>
      <w:r w:rsidRPr="007C3FF5">
        <w:rPr>
          <w:rFonts w:ascii="Times New Roman" w:hAnsi="Times New Roman"/>
          <w:color w:val="000000"/>
        </w:rPr>
        <w:t>The product split for travel to destinations outside Northern Ireland also forms part of the Imports column in the Supply Table.</w:t>
      </w:r>
    </w:p>
    <w:p w:rsidR="00117A4B" w:rsidRPr="007C3FF5" w:rsidRDefault="00117A4B" w:rsidP="00117A4B">
      <w:pPr>
        <w:pStyle w:val="NoSpacing"/>
        <w:spacing w:line="276" w:lineRule="auto"/>
        <w:ind w:left="426"/>
        <w:jc w:val="both"/>
        <w:rPr>
          <w:rFonts w:ascii="Times New Roman" w:hAnsi="Times New Roman"/>
          <w:color w:val="000000"/>
        </w:rPr>
      </w:pPr>
    </w:p>
    <w:p w:rsidR="001C5A54" w:rsidRPr="007C3FF5" w:rsidRDefault="001C5A54" w:rsidP="00117A4B">
      <w:pPr>
        <w:pStyle w:val="Heading3"/>
        <w:rPr>
          <w:rFonts w:ascii="Times New Roman" w:hAnsi="Times New Roman" w:cs="Times New Roman"/>
          <w:lang w:bidi="ar-SA"/>
        </w:rPr>
      </w:pPr>
      <w:bookmarkStart w:id="32" w:name="_Toc383010498"/>
      <w:r w:rsidRPr="007C3FF5">
        <w:rPr>
          <w:rFonts w:ascii="Times New Roman" w:hAnsi="Times New Roman" w:cs="Times New Roman"/>
          <w:lang w:bidi="ar-SA"/>
        </w:rPr>
        <w:t>Government Final Consumption Expenditure</w:t>
      </w:r>
      <w:bookmarkEnd w:id="32"/>
      <w:r w:rsidRPr="007C3FF5">
        <w:rPr>
          <w:rFonts w:ascii="Times New Roman" w:hAnsi="Times New Roman" w:cs="Times New Roman"/>
          <w:lang w:bidi="ar-SA"/>
        </w:rPr>
        <w:t xml:space="preserve"> </w:t>
      </w:r>
    </w:p>
    <w:p w:rsidR="00117A4B" w:rsidRPr="007C3FF5" w:rsidRDefault="00117A4B" w:rsidP="00117A4B">
      <w:pPr>
        <w:pStyle w:val="NoSpacing"/>
        <w:spacing w:line="276" w:lineRule="auto"/>
        <w:ind w:left="426"/>
        <w:jc w:val="both"/>
        <w:rPr>
          <w:rFonts w:ascii="Times New Roman" w:hAnsi="Times New Roman"/>
          <w:color w:val="000000"/>
        </w:rPr>
      </w:pPr>
    </w:p>
    <w:p w:rsidR="003B51FC" w:rsidRPr="007C3FF5" w:rsidRDefault="003B51FC" w:rsidP="00117A4B">
      <w:pPr>
        <w:pStyle w:val="NoSpacing"/>
        <w:spacing w:line="276" w:lineRule="auto"/>
        <w:ind w:left="426"/>
        <w:jc w:val="both"/>
        <w:rPr>
          <w:rFonts w:ascii="Times New Roman" w:hAnsi="Times New Roman"/>
          <w:color w:val="000000"/>
        </w:rPr>
      </w:pPr>
      <w:r w:rsidRPr="007C3FF5">
        <w:rPr>
          <w:rFonts w:ascii="Times New Roman" w:hAnsi="Times New Roman"/>
          <w:color w:val="000000"/>
        </w:rPr>
        <w:t>Under the National Accounts framework, government activities are presented in such a way that it appear</w:t>
      </w:r>
      <w:r w:rsidR="00117A4B" w:rsidRPr="007C3FF5">
        <w:rPr>
          <w:rFonts w:ascii="Times New Roman" w:hAnsi="Times New Roman"/>
          <w:color w:val="000000"/>
        </w:rPr>
        <w:t>s</w:t>
      </w:r>
      <w:r w:rsidRPr="007C3FF5">
        <w:rPr>
          <w:rFonts w:ascii="Times New Roman" w:hAnsi="Times New Roman"/>
          <w:color w:val="000000"/>
        </w:rPr>
        <w:t xml:space="preserve"> to be the final consumer of its own non-market output, or put another way, government, on behalf of the people, fund a range of activities across the public services. To reflect this, columns for the final consumption expenditure of central and local government appear in the final demand section of the Use Table. These columns display the total other non-market output of government by product. They equate to the row total of the other non-market component of the central and local government Supply Tables. </w:t>
      </w:r>
    </w:p>
    <w:p w:rsidR="00117A4B" w:rsidRPr="007C3FF5" w:rsidRDefault="00117A4B" w:rsidP="00117A4B">
      <w:pPr>
        <w:pStyle w:val="NoSpacing"/>
        <w:spacing w:line="276" w:lineRule="auto"/>
        <w:ind w:left="426"/>
        <w:jc w:val="both"/>
        <w:rPr>
          <w:rFonts w:ascii="Times New Roman" w:hAnsi="Times New Roman"/>
          <w:color w:val="000000"/>
        </w:rPr>
      </w:pPr>
    </w:p>
    <w:p w:rsidR="003B51FC" w:rsidRPr="007C3FF5" w:rsidRDefault="003B51FC" w:rsidP="00117A4B">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instance, consider industry 84, public administration and </w:t>
      </w:r>
      <w:proofErr w:type="spellStart"/>
      <w:r w:rsidRPr="007C3FF5">
        <w:rPr>
          <w:rFonts w:ascii="Times New Roman" w:hAnsi="Times New Roman"/>
          <w:color w:val="000000"/>
        </w:rPr>
        <w:t>defence</w:t>
      </w:r>
      <w:proofErr w:type="spellEnd"/>
      <w:r w:rsidRPr="007C3FF5">
        <w:rPr>
          <w:rFonts w:ascii="Times New Roman" w:hAnsi="Times New Roman"/>
          <w:color w:val="000000"/>
        </w:rPr>
        <w:t xml:space="preserve">.  In the Supply table all output of this industry is allocated to the corresponding principal product.  There is no market output associated with this product, so no other industry is buying it – </w:t>
      </w:r>
      <w:proofErr w:type="spellStart"/>
      <w:r w:rsidRPr="007C3FF5">
        <w:rPr>
          <w:rFonts w:ascii="Times New Roman" w:hAnsi="Times New Roman"/>
          <w:color w:val="000000"/>
        </w:rPr>
        <w:t>ie</w:t>
      </w:r>
      <w:proofErr w:type="spellEnd"/>
      <w:r w:rsidRPr="007C3FF5">
        <w:rPr>
          <w:rFonts w:ascii="Times New Roman" w:hAnsi="Times New Roman"/>
          <w:color w:val="000000"/>
        </w:rPr>
        <w:t xml:space="preserve"> total intermediate consumption of this product is zero.   In order to balance the supply of this product with the demand for it, government final consumption expenditure for this product is set equal to its total supply.  </w:t>
      </w:r>
    </w:p>
    <w:p w:rsidR="00117A4B" w:rsidRPr="007C3FF5" w:rsidRDefault="00117A4B" w:rsidP="00117A4B">
      <w:pPr>
        <w:pStyle w:val="NoSpacing"/>
        <w:spacing w:line="276" w:lineRule="auto"/>
        <w:ind w:left="426"/>
        <w:jc w:val="both"/>
        <w:rPr>
          <w:rFonts w:ascii="Times New Roman" w:hAnsi="Times New Roman"/>
          <w:color w:val="000000"/>
        </w:rPr>
      </w:pPr>
    </w:p>
    <w:p w:rsidR="003B51FC" w:rsidRPr="007C3FF5" w:rsidRDefault="003B51FC" w:rsidP="00117A4B">
      <w:pPr>
        <w:pStyle w:val="NoSpacing"/>
        <w:spacing w:line="276" w:lineRule="auto"/>
        <w:ind w:left="426"/>
        <w:jc w:val="both"/>
        <w:rPr>
          <w:rFonts w:ascii="Times New Roman" w:hAnsi="Times New Roman"/>
          <w:color w:val="000000"/>
        </w:rPr>
      </w:pPr>
      <w:r w:rsidRPr="007C3FF5">
        <w:rPr>
          <w:rFonts w:ascii="Times New Roman" w:hAnsi="Times New Roman"/>
          <w:color w:val="000000"/>
        </w:rPr>
        <w:t>Formally, government final consumption expenditure at purchasers’ prices is calculated as follows:</w:t>
      </w:r>
    </w:p>
    <w:p w:rsidR="003B51FC" w:rsidRPr="007C3FF5" w:rsidRDefault="003B51FC" w:rsidP="00117A4B">
      <w:pPr>
        <w:pStyle w:val="NoSpacing"/>
        <w:spacing w:line="276" w:lineRule="auto"/>
        <w:ind w:left="426"/>
        <w:jc w:val="both"/>
        <w:rPr>
          <w:rFonts w:ascii="Times New Roman" w:hAnsi="Times New Roman"/>
          <w:color w:val="000000"/>
        </w:rPr>
      </w:pPr>
    </w:p>
    <w:tbl>
      <w:tblPr>
        <w:tblStyle w:val="TableGrid"/>
        <w:tblW w:w="0" w:type="auto"/>
        <w:tblInd w:w="534" w:type="dxa"/>
        <w:tblLook w:val="04A0"/>
      </w:tblPr>
      <w:tblGrid>
        <w:gridCol w:w="6662"/>
        <w:gridCol w:w="2046"/>
      </w:tblGrid>
      <w:tr w:rsidR="00D2152F" w:rsidRPr="007C3FF5" w:rsidTr="00990882">
        <w:tc>
          <w:tcPr>
            <w:tcW w:w="8708" w:type="dxa"/>
            <w:gridSpan w:val="2"/>
            <w:shd w:val="clear" w:color="auto" w:fill="1F497D" w:themeFill="text2"/>
          </w:tcPr>
          <w:p w:rsidR="00D2152F" w:rsidRPr="007C3FF5" w:rsidRDefault="00D2152F" w:rsidP="00990882">
            <w:pPr>
              <w:pStyle w:val="NoSpacing"/>
              <w:spacing w:line="276" w:lineRule="auto"/>
              <w:jc w:val="center"/>
              <w:rPr>
                <w:rFonts w:ascii="Times New Roman" w:hAnsi="Times New Roman"/>
                <w:b/>
                <w:color w:val="FFFFFF" w:themeColor="background1"/>
                <w:sz w:val="20"/>
                <w:szCs w:val="20"/>
              </w:rPr>
            </w:pPr>
            <w:r w:rsidRPr="007C3FF5">
              <w:rPr>
                <w:rFonts w:ascii="Times New Roman" w:hAnsi="Times New Roman"/>
                <w:b/>
                <w:color w:val="FFFFFF" w:themeColor="background1"/>
                <w:sz w:val="20"/>
                <w:szCs w:val="20"/>
              </w:rPr>
              <w:t>Calculation of government final consumption expenditure at purchasers’ prices</w:t>
            </w:r>
          </w:p>
        </w:tc>
      </w:tr>
      <w:tr w:rsidR="00D2152F" w:rsidRPr="007C3FF5" w:rsidTr="00D2152F">
        <w:tc>
          <w:tcPr>
            <w:tcW w:w="6662"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Total intermediate consumption at purchasers' prices</w:t>
            </w:r>
          </w:p>
        </w:tc>
        <w:tc>
          <w:tcPr>
            <w:tcW w:w="2046"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w:t>
            </w:r>
          </w:p>
        </w:tc>
      </w:tr>
      <w:tr w:rsidR="00D2152F" w:rsidRPr="007C3FF5" w:rsidTr="00D2152F">
        <w:tc>
          <w:tcPr>
            <w:tcW w:w="6662"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gross value added at basic prices</w:t>
            </w:r>
          </w:p>
        </w:tc>
        <w:tc>
          <w:tcPr>
            <w:tcW w:w="2046"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B</w:t>
            </w:r>
          </w:p>
        </w:tc>
      </w:tr>
      <w:tr w:rsidR="00D2152F" w:rsidRPr="007C3FF5" w:rsidTr="00D2152F">
        <w:tc>
          <w:tcPr>
            <w:tcW w:w="6662" w:type="dxa"/>
          </w:tcPr>
          <w:p w:rsidR="00D2152F" w:rsidRPr="007C3FF5" w:rsidRDefault="00D2152F" w:rsidP="00990882">
            <w:pPr>
              <w:pStyle w:val="NoSpacing"/>
              <w:spacing w:line="276" w:lineRule="auto"/>
              <w:rPr>
                <w:rFonts w:ascii="Times New Roman" w:hAnsi="Times New Roman"/>
                <w:b/>
                <w:color w:val="000000"/>
                <w:sz w:val="20"/>
                <w:szCs w:val="20"/>
              </w:rPr>
            </w:pPr>
            <w:r w:rsidRPr="007C3FF5">
              <w:rPr>
                <w:rFonts w:ascii="Times New Roman" w:hAnsi="Times New Roman"/>
                <w:b/>
                <w:color w:val="000000"/>
                <w:sz w:val="20"/>
                <w:szCs w:val="20"/>
              </w:rPr>
              <w:t>= total output at basic prices</w:t>
            </w:r>
          </w:p>
        </w:tc>
        <w:tc>
          <w:tcPr>
            <w:tcW w:w="2046"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A+B</w:t>
            </w:r>
          </w:p>
        </w:tc>
      </w:tr>
      <w:tr w:rsidR="00D2152F" w:rsidRPr="007C3FF5" w:rsidTr="00D2152F">
        <w:tc>
          <w:tcPr>
            <w:tcW w:w="6662"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market output (receipts from actual sales)</w:t>
            </w:r>
          </w:p>
        </w:tc>
        <w:tc>
          <w:tcPr>
            <w:tcW w:w="2046"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C</w:t>
            </w:r>
          </w:p>
        </w:tc>
      </w:tr>
      <w:tr w:rsidR="00D2152F" w:rsidRPr="007C3FF5" w:rsidTr="00D2152F">
        <w:tc>
          <w:tcPr>
            <w:tcW w:w="6662"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 output produced for own final use</w:t>
            </w:r>
          </w:p>
        </w:tc>
        <w:tc>
          <w:tcPr>
            <w:tcW w:w="2046"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D</w:t>
            </w:r>
          </w:p>
        </w:tc>
      </w:tr>
      <w:tr w:rsidR="00D2152F" w:rsidRPr="007C3FF5" w:rsidTr="00D2152F">
        <w:tc>
          <w:tcPr>
            <w:tcW w:w="6662" w:type="dxa"/>
          </w:tcPr>
          <w:p w:rsidR="00D2152F" w:rsidRPr="007C3FF5" w:rsidRDefault="00D2152F" w:rsidP="00990882">
            <w:pPr>
              <w:pStyle w:val="NoSpacing"/>
              <w:spacing w:line="276" w:lineRule="auto"/>
              <w:rPr>
                <w:rFonts w:ascii="Times New Roman" w:hAnsi="Times New Roman"/>
                <w:b/>
                <w:color w:val="000000"/>
                <w:sz w:val="20"/>
                <w:szCs w:val="20"/>
              </w:rPr>
            </w:pPr>
            <w:r w:rsidRPr="007C3FF5">
              <w:rPr>
                <w:rFonts w:ascii="Times New Roman" w:hAnsi="Times New Roman"/>
                <w:b/>
                <w:color w:val="000000"/>
                <w:sz w:val="20"/>
                <w:szCs w:val="20"/>
              </w:rPr>
              <w:t>= other non-market output (government final consumption expenditure)</w:t>
            </w:r>
          </w:p>
        </w:tc>
        <w:tc>
          <w:tcPr>
            <w:tcW w:w="2046" w:type="dxa"/>
          </w:tcPr>
          <w:p w:rsidR="00D2152F" w:rsidRPr="007C3FF5" w:rsidRDefault="00D2152F" w:rsidP="00990882">
            <w:pPr>
              <w:pStyle w:val="NoSpacing"/>
              <w:spacing w:line="276" w:lineRule="auto"/>
              <w:rPr>
                <w:rFonts w:ascii="Times New Roman" w:hAnsi="Times New Roman"/>
                <w:color w:val="000000"/>
                <w:sz w:val="20"/>
                <w:szCs w:val="20"/>
              </w:rPr>
            </w:pPr>
            <w:r w:rsidRPr="007C3FF5">
              <w:rPr>
                <w:rFonts w:ascii="Times New Roman" w:hAnsi="Times New Roman"/>
                <w:color w:val="000000"/>
                <w:sz w:val="20"/>
                <w:szCs w:val="20"/>
              </w:rPr>
              <w:t>A+B-C-D</w:t>
            </w:r>
          </w:p>
        </w:tc>
      </w:tr>
    </w:tbl>
    <w:p w:rsidR="00D2152F" w:rsidRPr="007C3FF5" w:rsidRDefault="00D2152F" w:rsidP="00117A4B">
      <w:pPr>
        <w:pStyle w:val="NoSpacing"/>
        <w:spacing w:line="276" w:lineRule="auto"/>
        <w:ind w:left="426"/>
        <w:jc w:val="both"/>
        <w:rPr>
          <w:rFonts w:ascii="Times New Roman" w:hAnsi="Times New Roman"/>
          <w:color w:val="000000"/>
        </w:rPr>
      </w:pPr>
    </w:p>
    <w:p w:rsidR="008F4E91" w:rsidRPr="007C3FF5" w:rsidRDefault="008F4E91" w:rsidP="00D2152F">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Total government </w:t>
      </w:r>
      <w:r w:rsidR="003B51FC" w:rsidRPr="007C3FF5">
        <w:rPr>
          <w:rFonts w:ascii="Times New Roman" w:hAnsi="Times New Roman"/>
          <w:color w:val="000000"/>
        </w:rPr>
        <w:t xml:space="preserve">output by industry was sourced from COINS/OSCAR and local authority annual accounts.  From this, total government output was derived (assuming that each government industry only produces its principal product). </w:t>
      </w:r>
      <w:r w:rsidR="00A66F4F" w:rsidRPr="007C3FF5">
        <w:rPr>
          <w:rFonts w:ascii="Times New Roman" w:hAnsi="Times New Roman"/>
          <w:color w:val="000000"/>
        </w:rPr>
        <w:t xml:space="preserve"> </w:t>
      </w:r>
      <w:r w:rsidR="003B51FC" w:rsidRPr="007C3FF5">
        <w:rPr>
          <w:rFonts w:ascii="Times New Roman" w:hAnsi="Times New Roman"/>
          <w:color w:val="000000"/>
        </w:rPr>
        <w:t>F</w:t>
      </w:r>
      <w:r w:rsidRPr="007C3FF5">
        <w:rPr>
          <w:rFonts w:ascii="Times New Roman" w:hAnsi="Times New Roman"/>
          <w:color w:val="000000"/>
        </w:rPr>
        <w:t xml:space="preserve">inal consumption expenditure </w:t>
      </w:r>
      <w:r w:rsidR="005501F9" w:rsidRPr="007C3FF5">
        <w:rPr>
          <w:rFonts w:ascii="Times New Roman" w:hAnsi="Times New Roman"/>
          <w:color w:val="000000"/>
        </w:rPr>
        <w:t xml:space="preserve">by product </w:t>
      </w:r>
      <w:r w:rsidR="007D5E64" w:rsidRPr="007C3FF5">
        <w:rPr>
          <w:rFonts w:ascii="Times New Roman" w:hAnsi="Times New Roman"/>
          <w:color w:val="000000"/>
        </w:rPr>
        <w:t>was</w:t>
      </w:r>
      <w:r w:rsidR="00A66F4F" w:rsidRPr="007C3FF5">
        <w:rPr>
          <w:rFonts w:ascii="Times New Roman" w:hAnsi="Times New Roman"/>
          <w:color w:val="000000"/>
        </w:rPr>
        <w:t xml:space="preserve"> then</w:t>
      </w:r>
      <w:r w:rsidRPr="007C3FF5">
        <w:rPr>
          <w:rFonts w:ascii="Times New Roman" w:hAnsi="Times New Roman"/>
          <w:color w:val="000000"/>
        </w:rPr>
        <w:t xml:space="preserve"> set equal to government output less market output (</w:t>
      </w:r>
      <w:r w:rsidR="000309A0" w:rsidRPr="007C3FF5">
        <w:rPr>
          <w:rFonts w:ascii="Times New Roman" w:hAnsi="Times New Roman"/>
          <w:color w:val="000000"/>
        </w:rPr>
        <w:t>i.e.</w:t>
      </w:r>
      <w:r w:rsidRPr="007C3FF5">
        <w:rPr>
          <w:rFonts w:ascii="Times New Roman" w:hAnsi="Times New Roman"/>
          <w:color w:val="000000"/>
        </w:rPr>
        <w:t xml:space="preserve"> receipts from actual sales of services) for the corresponding </w:t>
      </w:r>
      <w:r w:rsidR="00EA35BE" w:rsidRPr="007C3FF5">
        <w:rPr>
          <w:rFonts w:ascii="Times New Roman" w:hAnsi="Times New Roman"/>
          <w:color w:val="000000"/>
        </w:rPr>
        <w:t>industry</w:t>
      </w:r>
      <w:r w:rsidRPr="007C3FF5">
        <w:rPr>
          <w:rFonts w:ascii="Times New Roman" w:hAnsi="Times New Roman"/>
          <w:color w:val="000000"/>
        </w:rPr>
        <w:t xml:space="preserve"> - </w:t>
      </w:r>
      <w:r w:rsidR="000309A0" w:rsidRPr="007C3FF5">
        <w:rPr>
          <w:rFonts w:ascii="Times New Roman" w:hAnsi="Times New Roman"/>
          <w:color w:val="000000"/>
        </w:rPr>
        <w:t>i.e.</w:t>
      </w:r>
      <w:r w:rsidRPr="007C3FF5">
        <w:rPr>
          <w:rFonts w:ascii="Times New Roman" w:hAnsi="Times New Roman"/>
          <w:color w:val="000000"/>
        </w:rPr>
        <w:t xml:space="preserve"> </w:t>
      </w:r>
      <w:r w:rsidR="00D807DC" w:rsidRPr="007C3FF5">
        <w:rPr>
          <w:rFonts w:ascii="Times New Roman" w:hAnsi="Times New Roman"/>
          <w:color w:val="000000"/>
        </w:rPr>
        <w:t>final consumption expenditure</w:t>
      </w:r>
      <w:r w:rsidRPr="007C3FF5">
        <w:rPr>
          <w:rFonts w:ascii="Times New Roman" w:hAnsi="Times New Roman"/>
          <w:color w:val="000000"/>
        </w:rPr>
        <w:t xml:space="preserve"> </w:t>
      </w:r>
      <w:r w:rsidR="00C20E2F" w:rsidRPr="007C3FF5">
        <w:rPr>
          <w:rFonts w:ascii="Times New Roman" w:hAnsi="Times New Roman"/>
          <w:color w:val="000000"/>
        </w:rPr>
        <w:t>was shown as</w:t>
      </w:r>
      <w:r w:rsidRPr="007C3FF5">
        <w:rPr>
          <w:rFonts w:ascii="Times New Roman" w:hAnsi="Times New Roman"/>
          <w:color w:val="000000"/>
        </w:rPr>
        <w:t xml:space="preserve"> gov</w:t>
      </w:r>
      <w:r w:rsidR="00D807DC" w:rsidRPr="007C3FF5">
        <w:rPr>
          <w:rFonts w:ascii="Times New Roman" w:hAnsi="Times New Roman"/>
          <w:color w:val="000000"/>
        </w:rPr>
        <w:t>ernmen</w:t>
      </w:r>
      <w:r w:rsidRPr="007C3FF5">
        <w:rPr>
          <w:rFonts w:ascii="Times New Roman" w:hAnsi="Times New Roman"/>
          <w:color w:val="000000"/>
        </w:rPr>
        <w:t xml:space="preserve">t consuming its own output.  </w:t>
      </w:r>
    </w:p>
    <w:p w:rsidR="001C5A54" w:rsidRPr="007C3FF5" w:rsidRDefault="001C5A54" w:rsidP="00D2152F">
      <w:pPr>
        <w:pStyle w:val="NoSpacing"/>
        <w:spacing w:line="276" w:lineRule="auto"/>
        <w:ind w:left="426"/>
        <w:jc w:val="both"/>
        <w:rPr>
          <w:rFonts w:ascii="Times New Roman" w:hAnsi="Times New Roman"/>
          <w:color w:val="000000"/>
        </w:rPr>
      </w:pPr>
    </w:p>
    <w:p w:rsidR="00D807DC" w:rsidRPr="007C3FF5" w:rsidRDefault="00D807DC" w:rsidP="00D2152F">
      <w:pPr>
        <w:pStyle w:val="Heading3"/>
        <w:rPr>
          <w:rFonts w:ascii="Times New Roman" w:hAnsi="Times New Roman" w:cs="Times New Roman"/>
          <w:lang w:bidi="ar-SA"/>
        </w:rPr>
      </w:pPr>
      <w:bookmarkStart w:id="33" w:name="_Toc383010499"/>
      <w:r w:rsidRPr="007C3FF5">
        <w:rPr>
          <w:rFonts w:ascii="Times New Roman" w:hAnsi="Times New Roman" w:cs="Times New Roman"/>
          <w:lang w:bidi="ar-SA"/>
        </w:rPr>
        <w:t>Non-Profit Institutions Serving Households (NPISH) Final Consumption Expenditure</w:t>
      </w:r>
      <w:bookmarkEnd w:id="33"/>
      <w:r w:rsidRPr="007C3FF5">
        <w:rPr>
          <w:rFonts w:ascii="Times New Roman" w:hAnsi="Times New Roman" w:cs="Times New Roman"/>
          <w:lang w:bidi="ar-SA"/>
        </w:rPr>
        <w:t xml:space="preserve"> </w:t>
      </w:r>
    </w:p>
    <w:p w:rsidR="00590338" w:rsidRPr="007C3FF5" w:rsidRDefault="00590338" w:rsidP="00D2152F">
      <w:pPr>
        <w:pStyle w:val="NoSpacing"/>
        <w:spacing w:line="276" w:lineRule="auto"/>
        <w:ind w:left="426"/>
        <w:jc w:val="both"/>
        <w:rPr>
          <w:rFonts w:ascii="Times New Roman" w:hAnsi="Times New Roman"/>
          <w:color w:val="000000"/>
        </w:rPr>
      </w:pPr>
    </w:p>
    <w:p w:rsidR="00D807DC" w:rsidRPr="007C3FF5" w:rsidRDefault="00D807DC" w:rsidP="00D2152F">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NPISH includes universities, charities (including most private schools), religious societies, trade unions and members’ clubs. Conceptually, NPISH Final Consumption Expenditure reflects the consumption by the NPISH sector of its own other non-market output, in a similar way to General Government Final Consumption Expenditure. </w:t>
      </w:r>
    </w:p>
    <w:p w:rsidR="00D2152F" w:rsidRPr="007C3FF5" w:rsidRDefault="00D2152F" w:rsidP="00D2152F">
      <w:pPr>
        <w:pStyle w:val="NoSpacing"/>
        <w:spacing w:line="276" w:lineRule="auto"/>
        <w:ind w:left="426"/>
        <w:jc w:val="both"/>
        <w:rPr>
          <w:rFonts w:ascii="Times New Roman" w:hAnsi="Times New Roman"/>
          <w:color w:val="000000"/>
        </w:rPr>
      </w:pPr>
    </w:p>
    <w:p w:rsidR="00D807DC" w:rsidRPr="007C3FF5" w:rsidRDefault="00D807DC" w:rsidP="00D2152F">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Data specifically relating to the NPISH sector for Northern Ireland are very limited.  The estimates in the </w:t>
      </w:r>
      <w:r w:rsidR="00D2152F" w:rsidRPr="007C3FF5">
        <w:rPr>
          <w:rFonts w:ascii="Times New Roman" w:hAnsi="Times New Roman"/>
          <w:color w:val="000000"/>
        </w:rPr>
        <w:t xml:space="preserve">combined </w:t>
      </w:r>
      <w:r w:rsidRPr="007C3FF5">
        <w:rPr>
          <w:rFonts w:ascii="Times New Roman" w:hAnsi="Times New Roman"/>
          <w:color w:val="000000"/>
        </w:rPr>
        <w:t>Use table are based on:</w:t>
      </w:r>
    </w:p>
    <w:p w:rsidR="00D2152F" w:rsidRPr="007C3FF5" w:rsidRDefault="00D2152F" w:rsidP="00D2152F">
      <w:pPr>
        <w:pStyle w:val="NoSpacing"/>
        <w:spacing w:line="276" w:lineRule="auto"/>
        <w:ind w:left="426"/>
        <w:jc w:val="both"/>
        <w:rPr>
          <w:rFonts w:ascii="Times New Roman" w:hAnsi="Times New Roman"/>
          <w:color w:val="000000"/>
        </w:rPr>
      </w:pPr>
    </w:p>
    <w:p w:rsidR="00D807DC" w:rsidRPr="007C3FF5" w:rsidRDefault="00D2152F" w:rsidP="00225BB1">
      <w:pPr>
        <w:pStyle w:val="NoSpacing"/>
        <w:numPr>
          <w:ilvl w:val="0"/>
          <w:numId w:val="7"/>
        </w:numPr>
        <w:spacing w:line="276" w:lineRule="auto"/>
        <w:jc w:val="both"/>
        <w:rPr>
          <w:rFonts w:ascii="Times New Roman" w:hAnsi="Times New Roman"/>
          <w:color w:val="000000"/>
        </w:rPr>
      </w:pPr>
      <w:r w:rsidRPr="007C3FF5">
        <w:rPr>
          <w:rFonts w:ascii="Times New Roman" w:hAnsi="Times New Roman"/>
          <w:color w:val="000000"/>
        </w:rPr>
        <w:t xml:space="preserve">Aggregate </w:t>
      </w:r>
      <w:r w:rsidR="00D807DC" w:rsidRPr="007C3FF5">
        <w:rPr>
          <w:rFonts w:ascii="Times New Roman" w:hAnsi="Times New Roman"/>
          <w:color w:val="000000"/>
        </w:rPr>
        <w:t>expenditure by universities taken from published sources;</w:t>
      </w:r>
    </w:p>
    <w:p w:rsidR="00D807DC" w:rsidRPr="007C3FF5" w:rsidRDefault="00D2152F" w:rsidP="00225BB1">
      <w:pPr>
        <w:pStyle w:val="NoSpacing"/>
        <w:numPr>
          <w:ilvl w:val="0"/>
          <w:numId w:val="7"/>
        </w:numPr>
        <w:spacing w:line="276" w:lineRule="auto"/>
        <w:jc w:val="both"/>
        <w:rPr>
          <w:rFonts w:ascii="Times New Roman" w:hAnsi="Times New Roman"/>
          <w:color w:val="000000"/>
        </w:rPr>
      </w:pPr>
      <w:r w:rsidRPr="007C3FF5">
        <w:rPr>
          <w:rFonts w:ascii="Times New Roman" w:hAnsi="Times New Roman"/>
          <w:color w:val="000000"/>
        </w:rPr>
        <w:t xml:space="preserve">Trade </w:t>
      </w:r>
      <w:r w:rsidR="00D807DC" w:rsidRPr="007C3FF5">
        <w:rPr>
          <w:rFonts w:ascii="Times New Roman" w:hAnsi="Times New Roman"/>
          <w:color w:val="000000"/>
        </w:rPr>
        <w:t xml:space="preserve">union membership fees using membership numbers from the </w:t>
      </w:r>
      <w:proofErr w:type="spellStart"/>
      <w:r w:rsidR="00D807DC" w:rsidRPr="007C3FF5">
        <w:rPr>
          <w:rFonts w:ascii="Times New Roman" w:hAnsi="Times New Roman"/>
          <w:color w:val="000000"/>
        </w:rPr>
        <w:t>Labour</w:t>
      </w:r>
      <w:proofErr w:type="spellEnd"/>
      <w:r w:rsidR="00D807DC" w:rsidRPr="007C3FF5">
        <w:rPr>
          <w:rFonts w:ascii="Times New Roman" w:hAnsi="Times New Roman"/>
          <w:color w:val="000000"/>
        </w:rPr>
        <w:t xml:space="preserve"> Force Survey and average monthly fees from the Consumer Prices Index;</w:t>
      </w:r>
      <w:r w:rsidRPr="007C3FF5">
        <w:rPr>
          <w:rFonts w:ascii="Times New Roman" w:hAnsi="Times New Roman"/>
          <w:color w:val="000000"/>
        </w:rPr>
        <w:t xml:space="preserve"> and</w:t>
      </w:r>
    </w:p>
    <w:p w:rsidR="00D807DC" w:rsidRPr="007C3FF5" w:rsidRDefault="00D2152F" w:rsidP="00225BB1">
      <w:pPr>
        <w:pStyle w:val="NoSpacing"/>
        <w:numPr>
          <w:ilvl w:val="0"/>
          <w:numId w:val="7"/>
        </w:numPr>
        <w:spacing w:line="276" w:lineRule="auto"/>
        <w:jc w:val="both"/>
        <w:rPr>
          <w:rFonts w:ascii="Times New Roman" w:hAnsi="Times New Roman"/>
          <w:color w:val="000000"/>
        </w:rPr>
      </w:pPr>
      <w:r w:rsidRPr="007C3FF5">
        <w:rPr>
          <w:rFonts w:ascii="Times New Roman" w:hAnsi="Times New Roman"/>
          <w:color w:val="000000"/>
        </w:rPr>
        <w:t xml:space="preserve">Average </w:t>
      </w:r>
      <w:r w:rsidR="00D807DC" w:rsidRPr="007C3FF5">
        <w:rPr>
          <w:rFonts w:ascii="Times New Roman" w:hAnsi="Times New Roman"/>
          <w:color w:val="000000"/>
        </w:rPr>
        <w:t>donations to charities by Northern Ireland residents.</w:t>
      </w:r>
    </w:p>
    <w:p w:rsidR="00D2152F" w:rsidRPr="007C3FF5" w:rsidRDefault="00D2152F" w:rsidP="00D2152F">
      <w:pPr>
        <w:pStyle w:val="NoSpacing"/>
        <w:spacing w:line="276" w:lineRule="auto"/>
        <w:ind w:left="426"/>
        <w:jc w:val="both"/>
        <w:rPr>
          <w:rFonts w:ascii="Times New Roman" w:hAnsi="Times New Roman"/>
          <w:color w:val="000000"/>
        </w:rPr>
      </w:pPr>
    </w:p>
    <w:p w:rsidR="00D807DC" w:rsidRPr="007C3FF5" w:rsidRDefault="00D807DC" w:rsidP="00D2152F">
      <w:pPr>
        <w:pStyle w:val="NoSpacing"/>
        <w:spacing w:line="276" w:lineRule="auto"/>
        <w:ind w:left="426"/>
        <w:jc w:val="both"/>
        <w:rPr>
          <w:rFonts w:ascii="Times New Roman" w:hAnsi="Times New Roman"/>
          <w:color w:val="000000"/>
        </w:rPr>
      </w:pPr>
      <w:r w:rsidRPr="007C3FF5">
        <w:rPr>
          <w:rFonts w:ascii="Times New Roman" w:hAnsi="Times New Roman"/>
          <w:color w:val="000000"/>
        </w:rPr>
        <w:t>The allocation of NPISH final consumption expenditure to product category is done using proportions obtained from the corresponding column in the UK SUT.</w:t>
      </w:r>
    </w:p>
    <w:p w:rsidR="00D2152F" w:rsidRPr="007C3FF5" w:rsidRDefault="00D2152F" w:rsidP="00D2152F">
      <w:pPr>
        <w:pStyle w:val="NoSpacing"/>
        <w:spacing w:line="276" w:lineRule="auto"/>
        <w:ind w:left="426"/>
        <w:jc w:val="both"/>
        <w:rPr>
          <w:rFonts w:ascii="Times New Roman" w:hAnsi="Times New Roman"/>
          <w:color w:val="000000"/>
        </w:rPr>
      </w:pPr>
    </w:p>
    <w:p w:rsidR="00D807DC" w:rsidRPr="007C3FF5" w:rsidRDefault="008B6FF3" w:rsidP="00D2152F">
      <w:pPr>
        <w:pStyle w:val="NoSpacing"/>
        <w:spacing w:line="276" w:lineRule="auto"/>
        <w:ind w:left="426"/>
        <w:jc w:val="both"/>
        <w:rPr>
          <w:rFonts w:ascii="Times New Roman" w:hAnsi="Times New Roman"/>
          <w:color w:val="000000"/>
        </w:rPr>
      </w:pPr>
      <w:r w:rsidRPr="007C3FF5">
        <w:rPr>
          <w:rFonts w:ascii="Times New Roman" w:hAnsi="Times New Roman"/>
          <w:color w:val="000000"/>
        </w:rPr>
        <w:t>For universities, i</w:t>
      </w:r>
      <w:r w:rsidR="00D807DC" w:rsidRPr="007C3FF5">
        <w:rPr>
          <w:rFonts w:ascii="Times New Roman" w:hAnsi="Times New Roman"/>
          <w:color w:val="000000"/>
        </w:rPr>
        <w:t xml:space="preserve">nformation on receipts of income </w:t>
      </w:r>
      <w:r w:rsidRPr="007C3FF5">
        <w:rPr>
          <w:rFonts w:ascii="Times New Roman" w:hAnsi="Times New Roman"/>
          <w:color w:val="000000"/>
        </w:rPr>
        <w:t>(tuition fees, research grants, other (</w:t>
      </w:r>
      <w:proofErr w:type="spellStart"/>
      <w:r w:rsidRPr="007C3FF5">
        <w:rPr>
          <w:rFonts w:ascii="Times New Roman" w:hAnsi="Times New Roman"/>
          <w:color w:val="000000"/>
        </w:rPr>
        <w:t>eg</w:t>
      </w:r>
      <w:proofErr w:type="spellEnd"/>
      <w:r w:rsidRPr="007C3FF5">
        <w:rPr>
          <w:rFonts w:ascii="Times New Roman" w:hAnsi="Times New Roman"/>
          <w:color w:val="000000"/>
        </w:rPr>
        <w:t xml:space="preserve"> hospitality)) is</w:t>
      </w:r>
      <w:r w:rsidR="00D807DC" w:rsidRPr="007C3FF5">
        <w:rPr>
          <w:rFonts w:ascii="Times New Roman" w:hAnsi="Times New Roman"/>
          <w:color w:val="000000"/>
        </w:rPr>
        <w:t xml:space="preserve"> available from published sources. </w:t>
      </w:r>
      <w:r w:rsidR="00FF7C29" w:rsidRPr="007C3FF5">
        <w:rPr>
          <w:rFonts w:ascii="Times New Roman" w:hAnsi="Times New Roman"/>
          <w:color w:val="000000"/>
        </w:rPr>
        <w:t xml:space="preserve"> This is subtracted from NPISH aggregate expenditure before it is apportioned across final consumption expenditure product categories.</w:t>
      </w:r>
    </w:p>
    <w:p w:rsidR="00921986" w:rsidRPr="007C3FF5" w:rsidRDefault="00921986" w:rsidP="00D2152F">
      <w:pPr>
        <w:pStyle w:val="NoSpacing"/>
        <w:spacing w:line="276" w:lineRule="auto"/>
        <w:ind w:left="426"/>
        <w:jc w:val="both"/>
        <w:rPr>
          <w:rFonts w:ascii="Times New Roman" w:hAnsi="Times New Roman"/>
          <w:color w:val="000000"/>
        </w:rPr>
      </w:pPr>
    </w:p>
    <w:p w:rsidR="001C5A54" w:rsidRPr="007C3FF5" w:rsidRDefault="001C5A54" w:rsidP="00921986">
      <w:pPr>
        <w:pStyle w:val="Heading2"/>
        <w:ind w:left="426"/>
        <w:rPr>
          <w:rFonts w:ascii="Times New Roman" w:hAnsi="Times New Roman" w:cs="Times New Roman"/>
          <w:lang w:bidi="ar-SA"/>
        </w:rPr>
      </w:pPr>
      <w:bookmarkStart w:id="34" w:name="_Toc383010500"/>
      <w:r w:rsidRPr="007C3FF5">
        <w:rPr>
          <w:rFonts w:ascii="Times New Roman" w:hAnsi="Times New Roman" w:cs="Times New Roman"/>
          <w:lang w:bidi="ar-SA"/>
        </w:rPr>
        <w:t>Gross Capital Formation</w:t>
      </w:r>
      <w:bookmarkEnd w:id="34"/>
      <w:r w:rsidRPr="007C3FF5">
        <w:rPr>
          <w:rFonts w:ascii="Times New Roman" w:hAnsi="Times New Roman" w:cs="Times New Roman"/>
          <w:lang w:bidi="ar-SA"/>
        </w:rPr>
        <w:t xml:space="preserve"> </w:t>
      </w:r>
    </w:p>
    <w:p w:rsidR="00921986" w:rsidRPr="007C3FF5" w:rsidRDefault="00921986" w:rsidP="007D031C">
      <w:pPr>
        <w:pStyle w:val="NoSpacing"/>
        <w:spacing w:line="276" w:lineRule="auto"/>
        <w:ind w:left="426"/>
        <w:jc w:val="both"/>
        <w:rPr>
          <w:rFonts w:ascii="Times New Roman" w:hAnsi="Times New Roman"/>
          <w:color w:val="000000"/>
        </w:rPr>
      </w:pPr>
    </w:p>
    <w:p w:rsidR="001C5A54" w:rsidRPr="007C3FF5" w:rsidRDefault="001C5A54" w:rsidP="007D031C">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Gross Capital Formation comprises three components in the tables: </w:t>
      </w:r>
    </w:p>
    <w:p w:rsidR="00921986" w:rsidRPr="007C3FF5" w:rsidRDefault="00921986" w:rsidP="007D031C">
      <w:pPr>
        <w:pStyle w:val="NoSpacing"/>
        <w:spacing w:line="276" w:lineRule="auto"/>
        <w:ind w:left="426"/>
        <w:jc w:val="both"/>
        <w:rPr>
          <w:rFonts w:ascii="Times New Roman" w:hAnsi="Times New Roman"/>
          <w:color w:val="000000"/>
        </w:rPr>
      </w:pPr>
    </w:p>
    <w:p w:rsidR="001C5A54" w:rsidRPr="007C3FF5" w:rsidRDefault="001C5A54" w:rsidP="00225BB1">
      <w:pPr>
        <w:pStyle w:val="NoSpacing"/>
        <w:numPr>
          <w:ilvl w:val="0"/>
          <w:numId w:val="8"/>
        </w:numPr>
        <w:spacing w:line="276" w:lineRule="auto"/>
        <w:jc w:val="both"/>
        <w:rPr>
          <w:rFonts w:ascii="Times New Roman" w:hAnsi="Times New Roman"/>
          <w:color w:val="000000"/>
        </w:rPr>
      </w:pPr>
      <w:r w:rsidRPr="007C3FF5">
        <w:rPr>
          <w:rFonts w:ascii="Times New Roman" w:hAnsi="Times New Roman"/>
          <w:color w:val="000000"/>
        </w:rPr>
        <w:t>Gross</w:t>
      </w:r>
      <w:r w:rsidR="00921986" w:rsidRPr="007C3FF5">
        <w:rPr>
          <w:rFonts w:ascii="Times New Roman" w:hAnsi="Times New Roman"/>
          <w:color w:val="000000"/>
        </w:rPr>
        <w:t xml:space="preserve"> Fixed Capital Formation (GFCF);</w:t>
      </w:r>
    </w:p>
    <w:p w:rsidR="001C5A54" w:rsidRPr="007C3FF5" w:rsidRDefault="001C5A54" w:rsidP="00225BB1">
      <w:pPr>
        <w:pStyle w:val="NoSpacing"/>
        <w:numPr>
          <w:ilvl w:val="0"/>
          <w:numId w:val="8"/>
        </w:numPr>
        <w:spacing w:line="276" w:lineRule="auto"/>
        <w:jc w:val="both"/>
        <w:rPr>
          <w:rFonts w:ascii="Times New Roman" w:hAnsi="Times New Roman"/>
          <w:color w:val="000000"/>
        </w:rPr>
      </w:pPr>
      <w:r w:rsidRPr="007C3FF5">
        <w:rPr>
          <w:rFonts w:ascii="Times New Roman" w:hAnsi="Times New Roman"/>
          <w:color w:val="000000"/>
        </w:rPr>
        <w:t>Acquisiti</w:t>
      </w:r>
      <w:r w:rsidR="00921986" w:rsidRPr="007C3FF5">
        <w:rPr>
          <w:rFonts w:ascii="Times New Roman" w:hAnsi="Times New Roman"/>
          <w:color w:val="000000"/>
        </w:rPr>
        <w:t>ons less disposals of valuables; and</w:t>
      </w:r>
    </w:p>
    <w:p w:rsidR="001C5A54" w:rsidRPr="007C3FF5" w:rsidRDefault="00921986" w:rsidP="00225BB1">
      <w:pPr>
        <w:pStyle w:val="NoSpacing"/>
        <w:numPr>
          <w:ilvl w:val="0"/>
          <w:numId w:val="8"/>
        </w:numPr>
        <w:spacing w:line="276" w:lineRule="auto"/>
        <w:jc w:val="both"/>
        <w:rPr>
          <w:rFonts w:ascii="Times New Roman" w:hAnsi="Times New Roman"/>
          <w:color w:val="000000"/>
        </w:rPr>
      </w:pPr>
      <w:r w:rsidRPr="007C3FF5">
        <w:rPr>
          <w:rFonts w:ascii="Times New Roman" w:hAnsi="Times New Roman"/>
          <w:color w:val="000000"/>
        </w:rPr>
        <w:t>Change in inventories.</w:t>
      </w:r>
    </w:p>
    <w:p w:rsidR="001C5A54" w:rsidRPr="007C3FF5" w:rsidRDefault="001C5A54" w:rsidP="007D031C">
      <w:pPr>
        <w:pStyle w:val="NoSpacing"/>
        <w:spacing w:line="276" w:lineRule="auto"/>
        <w:ind w:left="426"/>
        <w:jc w:val="both"/>
        <w:rPr>
          <w:rFonts w:ascii="Times New Roman" w:hAnsi="Times New Roman"/>
          <w:color w:val="000000"/>
        </w:rPr>
      </w:pPr>
    </w:p>
    <w:p w:rsidR="001C5A54" w:rsidRPr="007C3FF5" w:rsidRDefault="001C5A54" w:rsidP="00921986">
      <w:pPr>
        <w:pStyle w:val="Heading3"/>
        <w:rPr>
          <w:rFonts w:ascii="Times New Roman" w:hAnsi="Times New Roman" w:cs="Times New Roman"/>
          <w:lang w:bidi="ar-SA"/>
        </w:rPr>
      </w:pPr>
      <w:bookmarkStart w:id="35" w:name="_Toc383010501"/>
      <w:r w:rsidRPr="007C3FF5">
        <w:rPr>
          <w:rFonts w:ascii="Times New Roman" w:hAnsi="Times New Roman" w:cs="Times New Roman"/>
          <w:lang w:bidi="ar-SA"/>
        </w:rPr>
        <w:t>Gross Fixed Capital Formation (GFCF)</w:t>
      </w:r>
      <w:bookmarkEnd w:id="35"/>
      <w:r w:rsidRPr="007C3FF5">
        <w:rPr>
          <w:rFonts w:ascii="Times New Roman" w:hAnsi="Times New Roman" w:cs="Times New Roman"/>
          <w:lang w:bidi="ar-SA"/>
        </w:rPr>
        <w:t xml:space="preserve"> </w:t>
      </w:r>
    </w:p>
    <w:p w:rsidR="00921986" w:rsidRPr="007C3FF5" w:rsidRDefault="00921986" w:rsidP="00921986">
      <w:pPr>
        <w:pStyle w:val="NoSpacing"/>
        <w:spacing w:line="276" w:lineRule="auto"/>
        <w:ind w:left="426"/>
        <w:jc w:val="both"/>
        <w:rPr>
          <w:rFonts w:ascii="Times New Roman" w:hAnsi="Times New Roman"/>
          <w:color w:val="000000"/>
        </w:rPr>
      </w:pPr>
    </w:p>
    <w:p w:rsidR="00F87A37" w:rsidRPr="007C3FF5" w:rsidRDefault="00AB59D7" w:rsidP="00921986">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central </w:t>
      </w:r>
      <w:r w:rsidR="001E594F" w:rsidRPr="007C3FF5">
        <w:rPr>
          <w:rFonts w:ascii="Times New Roman" w:hAnsi="Times New Roman"/>
          <w:color w:val="000000"/>
        </w:rPr>
        <w:t>government</w:t>
      </w:r>
      <w:r w:rsidR="001D0A96" w:rsidRPr="007C3FF5">
        <w:rPr>
          <w:rFonts w:ascii="Times New Roman" w:hAnsi="Times New Roman"/>
          <w:color w:val="000000"/>
        </w:rPr>
        <w:t xml:space="preserve">, </w:t>
      </w:r>
      <w:r w:rsidRPr="007C3FF5">
        <w:rPr>
          <w:rFonts w:ascii="Times New Roman" w:hAnsi="Times New Roman"/>
          <w:color w:val="000000"/>
        </w:rPr>
        <w:t>capital expenditure by broad category of product (e</w:t>
      </w:r>
      <w:r w:rsidR="00921986" w:rsidRPr="007C3FF5">
        <w:rPr>
          <w:rFonts w:ascii="Times New Roman" w:hAnsi="Times New Roman"/>
          <w:color w:val="000000"/>
        </w:rPr>
        <w:t>.</w:t>
      </w:r>
      <w:r w:rsidRPr="007C3FF5">
        <w:rPr>
          <w:rFonts w:ascii="Times New Roman" w:hAnsi="Times New Roman"/>
          <w:color w:val="000000"/>
        </w:rPr>
        <w:t>g</w:t>
      </w:r>
      <w:r w:rsidR="00921986" w:rsidRPr="007C3FF5">
        <w:rPr>
          <w:rFonts w:ascii="Times New Roman" w:hAnsi="Times New Roman"/>
          <w:color w:val="000000"/>
        </w:rPr>
        <w:t>.</w:t>
      </w:r>
      <w:r w:rsidRPr="007C3FF5">
        <w:rPr>
          <w:rFonts w:ascii="Times New Roman" w:hAnsi="Times New Roman"/>
          <w:color w:val="000000"/>
        </w:rPr>
        <w:t xml:space="preserve"> plant and machinery, civil engineering</w:t>
      </w:r>
      <w:r w:rsidR="00921986" w:rsidRPr="007C3FF5">
        <w:rPr>
          <w:rFonts w:ascii="Times New Roman" w:hAnsi="Times New Roman"/>
          <w:color w:val="000000"/>
        </w:rPr>
        <w:t>,</w:t>
      </w:r>
      <w:r w:rsidRPr="007C3FF5">
        <w:rPr>
          <w:rFonts w:ascii="Times New Roman" w:hAnsi="Times New Roman"/>
          <w:color w:val="000000"/>
        </w:rPr>
        <w:t xml:space="preserve"> etc) is available </w:t>
      </w:r>
      <w:r w:rsidR="008B6FF3" w:rsidRPr="007C3FF5">
        <w:rPr>
          <w:rFonts w:ascii="Times New Roman" w:hAnsi="Times New Roman"/>
          <w:color w:val="000000"/>
        </w:rPr>
        <w:t>from COINS</w:t>
      </w:r>
      <w:r w:rsidR="007C160D" w:rsidRPr="007C3FF5">
        <w:rPr>
          <w:rFonts w:ascii="Times New Roman" w:hAnsi="Times New Roman"/>
          <w:color w:val="000000"/>
        </w:rPr>
        <w:t>/OSCAR</w:t>
      </w:r>
      <w:r w:rsidR="008B6FF3" w:rsidRPr="007C3FF5">
        <w:rPr>
          <w:rFonts w:ascii="Times New Roman" w:hAnsi="Times New Roman"/>
          <w:color w:val="000000"/>
        </w:rPr>
        <w:t xml:space="preserve"> </w:t>
      </w:r>
      <w:r w:rsidR="00963BA2" w:rsidRPr="007C3FF5">
        <w:rPr>
          <w:rFonts w:ascii="Times New Roman" w:hAnsi="Times New Roman"/>
          <w:color w:val="000000"/>
        </w:rPr>
        <w:t>classified according to COFOG</w:t>
      </w:r>
      <w:r w:rsidRPr="007C3FF5">
        <w:rPr>
          <w:rFonts w:ascii="Times New Roman" w:hAnsi="Times New Roman"/>
          <w:color w:val="000000"/>
        </w:rPr>
        <w:t xml:space="preserve">, and hence to industry.  </w:t>
      </w:r>
      <w:r w:rsidR="008B6FF3" w:rsidRPr="007C3FF5">
        <w:rPr>
          <w:rFonts w:ascii="Times New Roman" w:hAnsi="Times New Roman"/>
          <w:color w:val="000000"/>
        </w:rPr>
        <w:t>For local government, similar information is available from their annual accounts.</w:t>
      </w:r>
    </w:p>
    <w:p w:rsidR="00AB59D7" w:rsidRPr="007C3FF5" w:rsidRDefault="00AB59D7" w:rsidP="00921986">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 </w:t>
      </w:r>
    </w:p>
    <w:p w:rsidR="00AB59D7" w:rsidRPr="007C3FF5" w:rsidRDefault="00AB59D7" w:rsidP="00921986">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NPISH, </w:t>
      </w:r>
      <w:r w:rsidR="007C160D" w:rsidRPr="007C3FF5">
        <w:rPr>
          <w:rFonts w:ascii="Times New Roman" w:hAnsi="Times New Roman"/>
          <w:color w:val="000000"/>
        </w:rPr>
        <w:t>a high level product split (e</w:t>
      </w:r>
      <w:r w:rsidR="00921986" w:rsidRPr="007C3FF5">
        <w:rPr>
          <w:rFonts w:ascii="Times New Roman" w:hAnsi="Times New Roman"/>
          <w:color w:val="000000"/>
        </w:rPr>
        <w:t>.</w:t>
      </w:r>
      <w:r w:rsidR="007C160D" w:rsidRPr="007C3FF5">
        <w:rPr>
          <w:rFonts w:ascii="Times New Roman" w:hAnsi="Times New Roman"/>
          <w:color w:val="000000"/>
        </w:rPr>
        <w:t>g</w:t>
      </w:r>
      <w:r w:rsidR="00921986" w:rsidRPr="007C3FF5">
        <w:rPr>
          <w:rFonts w:ascii="Times New Roman" w:hAnsi="Times New Roman"/>
          <w:color w:val="000000"/>
        </w:rPr>
        <w:t>.</w:t>
      </w:r>
      <w:r w:rsidR="007C160D" w:rsidRPr="007C3FF5">
        <w:rPr>
          <w:rFonts w:ascii="Times New Roman" w:hAnsi="Times New Roman"/>
          <w:color w:val="000000"/>
        </w:rPr>
        <w:t xml:space="preserve"> buildings, equipment</w:t>
      </w:r>
      <w:r w:rsidR="00921986" w:rsidRPr="007C3FF5">
        <w:rPr>
          <w:rFonts w:ascii="Times New Roman" w:hAnsi="Times New Roman"/>
          <w:color w:val="000000"/>
        </w:rPr>
        <w:t>, etc</w:t>
      </w:r>
      <w:r w:rsidR="007C160D" w:rsidRPr="007C3FF5">
        <w:rPr>
          <w:rFonts w:ascii="Times New Roman" w:hAnsi="Times New Roman"/>
          <w:color w:val="000000"/>
        </w:rPr>
        <w:t>) for</w:t>
      </w:r>
      <w:r w:rsidR="00F87A37" w:rsidRPr="007C3FF5">
        <w:rPr>
          <w:rFonts w:ascii="Times New Roman" w:hAnsi="Times New Roman"/>
          <w:color w:val="000000"/>
        </w:rPr>
        <w:t xml:space="preserve"> capital expenditure </w:t>
      </w:r>
      <w:r w:rsidR="007C160D" w:rsidRPr="007C3FF5">
        <w:rPr>
          <w:rFonts w:ascii="Times New Roman" w:hAnsi="Times New Roman"/>
          <w:color w:val="000000"/>
        </w:rPr>
        <w:t xml:space="preserve">by universities </w:t>
      </w:r>
      <w:r w:rsidR="00F87A37" w:rsidRPr="007C3FF5">
        <w:rPr>
          <w:rFonts w:ascii="Times New Roman" w:hAnsi="Times New Roman"/>
          <w:color w:val="000000"/>
        </w:rPr>
        <w:t xml:space="preserve">was obtained from their published annual accounts.  </w:t>
      </w:r>
      <w:r w:rsidR="001D0A96" w:rsidRPr="007C3FF5">
        <w:rPr>
          <w:rFonts w:ascii="Times New Roman" w:hAnsi="Times New Roman"/>
          <w:color w:val="000000"/>
        </w:rPr>
        <w:t xml:space="preserve">For other components of the NPISH calculation, it was assumed capital expenditure (in aggregate) made up the same proportion of total output as it did for the universities.   </w:t>
      </w:r>
    </w:p>
    <w:p w:rsidR="00921986" w:rsidRPr="007C3FF5" w:rsidRDefault="00921986" w:rsidP="00921986">
      <w:pPr>
        <w:pStyle w:val="NoSpacing"/>
        <w:spacing w:line="276" w:lineRule="auto"/>
        <w:ind w:left="426"/>
        <w:jc w:val="both"/>
        <w:rPr>
          <w:rFonts w:ascii="Times New Roman" w:hAnsi="Times New Roman"/>
          <w:color w:val="000000"/>
        </w:rPr>
      </w:pPr>
    </w:p>
    <w:p w:rsidR="00F87A37" w:rsidRPr="007C3FF5" w:rsidRDefault="00F87A37" w:rsidP="00921986">
      <w:pPr>
        <w:pStyle w:val="NoSpacing"/>
        <w:spacing w:line="276" w:lineRule="auto"/>
        <w:ind w:left="426"/>
        <w:jc w:val="both"/>
        <w:rPr>
          <w:rFonts w:ascii="Times New Roman" w:hAnsi="Times New Roman"/>
          <w:color w:val="000000"/>
        </w:rPr>
      </w:pPr>
      <w:r w:rsidRPr="007C3FF5">
        <w:rPr>
          <w:rFonts w:ascii="Times New Roman" w:hAnsi="Times New Roman"/>
          <w:color w:val="000000"/>
        </w:rPr>
        <w:t>For other sectors, GFCF totals from the AB</w:t>
      </w:r>
      <w:r w:rsidR="00590338" w:rsidRPr="007C3FF5">
        <w:rPr>
          <w:rFonts w:ascii="Times New Roman" w:hAnsi="Times New Roman"/>
          <w:color w:val="000000"/>
        </w:rPr>
        <w:t>I</w:t>
      </w:r>
      <w:r w:rsidRPr="007C3FF5">
        <w:rPr>
          <w:rFonts w:ascii="Times New Roman" w:hAnsi="Times New Roman"/>
          <w:color w:val="000000"/>
        </w:rPr>
        <w:t xml:space="preserve"> were used, with the agriculture industry supplemented by data from DARD’s surveys of agriculture.  The latter survey provides a breakdown of expenditure by broad category of product.</w:t>
      </w:r>
    </w:p>
    <w:p w:rsidR="00921986" w:rsidRPr="007C3FF5" w:rsidRDefault="00921986" w:rsidP="00921986">
      <w:pPr>
        <w:pStyle w:val="NoSpacing"/>
        <w:spacing w:line="276" w:lineRule="auto"/>
        <w:ind w:left="426"/>
        <w:jc w:val="both"/>
        <w:rPr>
          <w:rFonts w:ascii="Times New Roman" w:hAnsi="Times New Roman"/>
          <w:color w:val="000000"/>
        </w:rPr>
      </w:pPr>
    </w:p>
    <w:p w:rsidR="00F87A37" w:rsidRPr="007C3FF5" w:rsidRDefault="00F87A37" w:rsidP="00921986">
      <w:pPr>
        <w:pStyle w:val="NoSpacing"/>
        <w:spacing w:line="276" w:lineRule="auto"/>
        <w:ind w:left="426"/>
        <w:jc w:val="both"/>
        <w:rPr>
          <w:rFonts w:ascii="Times New Roman" w:hAnsi="Times New Roman"/>
          <w:color w:val="000000"/>
        </w:rPr>
      </w:pPr>
      <w:r w:rsidRPr="007C3FF5">
        <w:rPr>
          <w:rFonts w:ascii="Times New Roman" w:hAnsi="Times New Roman"/>
          <w:color w:val="000000"/>
        </w:rPr>
        <w:t>These industry level estimates were disaggregated to the product level by applying product proportions from the UK GFCF industry by product table to the Northern Irish industry GFCF totals.</w:t>
      </w:r>
    </w:p>
    <w:p w:rsidR="00F87A37" w:rsidRPr="007C3FF5" w:rsidRDefault="00F87A37" w:rsidP="00921986">
      <w:pPr>
        <w:pStyle w:val="NoSpacing"/>
        <w:spacing w:line="276" w:lineRule="auto"/>
        <w:ind w:left="426"/>
        <w:jc w:val="both"/>
        <w:rPr>
          <w:rFonts w:ascii="Times New Roman" w:hAnsi="Times New Roman"/>
          <w:color w:val="000000"/>
        </w:rPr>
      </w:pPr>
    </w:p>
    <w:p w:rsidR="00713EEC" w:rsidRPr="007C3FF5" w:rsidRDefault="00F87A37" w:rsidP="00921986">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Information is also available for total construction output in Northern Ireland.  </w:t>
      </w:r>
      <w:r w:rsidR="00713EEC" w:rsidRPr="007C3FF5">
        <w:rPr>
          <w:rFonts w:ascii="Times New Roman" w:hAnsi="Times New Roman"/>
          <w:color w:val="000000"/>
        </w:rPr>
        <w:t>This was used as follows:</w:t>
      </w:r>
    </w:p>
    <w:p w:rsidR="00921986" w:rsidRPr="007C3FF5" w:rsidRDefault="00921986" w:rsidP="00921986">
      <w:pPr>
        <w:pStyle w:val="NoSpacing"/>
        <w:spacing w:line="276" w:lineRule="auto"/>
        <w:ind w:left="426"/>
        <w:jc w:val="both"/>
        <w:rPr>
          <w:rFonts w:ascii="Times New Roman" w:hAnsi="Times New Roman"/>
          <w:color w:val="000000"/>
        </w:rPr>
      </w:pPr>
    </w:p>
    <w:p w:rsidR="00713EEC" w:rsidRPr="007C3FF5" w:rsidRDefault="00713EEC"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Expenditure on housing was allocated to the dwellings column of the </w:t>
      </w:r>
      <w:r w:rsidR="00921986" w:rsidRPr="007C3FF5">
        <w:rPr>
          <w:rFonts w:ascii="Times New Roman" w:hAnsi="Times New Roman"/>
        </w:rPr>
        <w:t xml:space="preserve">GFCF industry by product matrix; </w:t>
      </w:r>
    </w:p>
    <w:p w:rsidR="00713EEC" w:rsidRPr="007C3FF5" w:rsidRDefault="00713EEC" w:rsidP="00225BB1">
      <w:pPr>
        <w:pStyle w:val="NoSpacing"/>
        <w:numPr>
          <w:ilvl w:val="0"/>
          <w:numId w:val="6"/>
        </w:numPr>
        <w:spacing w:line="276" w:lineRule="auto"/>
        <w:jc w:val="both"/>
        <w:rPr>
          <w:rFonts w:ascii="Times New Roman" w:hAnsi="Times New Roman"/>
        </w:rPr>
      </w:pPr>
      <w:r w:rsidRPr="007C3FF5">
        <w:rPr>
          <w:rFonts w:ascii="Times New Roman" w:hAnsi="Times New Roman"/>
        </w:rPr>
        <w:t>New housing was allocated to product 41 (building and construction works);</w:t>
      </w:r>
      <w:r w:rsidR="000B2DF7" w:rsidRPr="007C3FF5">
        <w:rPr>
          <w:rFonts w:ascii="Times New Roman" w:hAnsi="Times New Roman"/>
        </w:rPr>
        <w:t xml:space="preserve"> and</w:t>
      </w:r>
    </w:p>
    <w:p w:rsidR="00713EEC" w:rsidRPr="007C3FF5" w:rsidRDefault="00713EEC" w:rsidP="00225BB1">
      <w:pPr>
        <w:pStyle w:val="NoSpacing"/>
        <w:numPr>
          <w:ilvl w:val="0"/>
          <w:numId w:val="6"/>
        </w:numPr>
        <w:spacing w:line="276" w:lineRule="auto"/>
        <w:jc w:val="both"/>
        <w:rPr>
          <w:rFonts w:ascii="Times New Roman" w:hAnsi="Times New Roman"/>
        </w:rPr>
      </w:pPr>
      <w:r w:rsidRPr="007C3FF5">
        <w:rPr>
          <w:rFonts w:ascii="Times New Roman" w:hAnsi="Times New Roman"/>
        </w:rPr>
        <w:t>Housing repairs and maintenance was split between products 42 and 43 in line with UK Supply Use Table proportions</w:t>
      </w:r>
      <w:r w:rsidR="000B2DF7" w:rsidRPr="007C3FF5">
        <w:rPr>
          <w:rFonts w:ascii="Times New Roman" w:hAnsi="Times New Roman"/>
        </w:rPr>
        <w:t>.</w:t>
      </w:r>
    </w:p>
    <w:p w:rsidR="00C20E2F" w:rsidRPr="007C3FF5" w:rsidRDefault="00C20E2F" w:rsidP="000B2DF7">
      <w:pPr>
        <w:pStyle w:val="NoSpacing"/>
        <w:spacing w:line="276" w:lineRule="auto"/>
        <w:ind w:left="426"/>
        <w:jc w:val="both"/>
        <w:rPr>
          <w:rFonts w:ascii="Times New Roman" w:hAnsi="Times New Roman"/>
          <w:color w:val="000000"/>
        </w:rPr>
      </w:pPr>
    </w:p>
    <w:p w:rsidR="00F87A37" w:rsidRPr="007C3FF5" w:rsidRDefault="00F87A37"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The product totals for construction were constrained to these tot</w:t>
      </w:r>
      <w:r w:rsidR="00BB29E4" w:rsidRPr="007C3FF5">
        <w:rPr>
          <w:rFonts w:ascii="Times New Roman" w:hAnsi="Times New Roman"/>
          <w:color w:val="000000"/>
        </w:rPr>
        <w:t>als.</w:t>
      </w:r>
    </w:p>
    <w:p w:rsidR="000B2DF7" w:rsidRPr="007C3FF5" w:rsidRDefault="000B2DF7" w:rsidP="000B2DF7">
      <w:pPr>
        <w:pStyle w:val="NoSpacing"/>
        <w:spacing w:line="276" w:lineRule="auto"/>
        <w:ind w:left="426"/>
        <w:jc w:val="both"/>
        <w:rPr>
          <w:rFonts w:ascii="Times New Roman" w:hAnsi="Times New Roman"/>
          <w:color w:val="000000"/>
        </w:rPr>
      </w:pPr>
    </w:p>
    <w:p w:rsidR="00C20E2F" w:rsidRPr="007C3FF5" w:rsidRDefault="00C20E2F"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Transfer costs for land and dwellings were then estimated by working out the percentage of total construction expenditure that they represent for the UK and applying this to the corresponding totals for Northern Ireland.</w:t>
      </w:r>
    </w:p>
    <w:p w:rsidR="000B2DF7" w:rsidRPr="007C3FF5" w:rsidRDefault="000B2DF7" w:rsidP="000B2DF7">
      <w:pPr>
        <w:pStyle w:val="NoSpacing"/>
        <w:spacing w:line="276" w:lineRule="auto"/>
        <w:ind w:left="426"/>
        <w:jc w:val="both"/>
        <w:rPr>
          <w:rFonts w:ascii="Times New Roman" w:hAnsi="Times New Roman"/>
          <w:color w:val="000000"/>
        </w:rPr>
      </w:pPr>
    </w:p>
    <w:p w:rsidR="001C5A54" w:rsidRPr="007C3FF5" w:rsidRDefault="001C5A54"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Aggregating by industry then </w:t>
      </w:r>
      <w:r w:rsidR="005501F9" w:rsidRPr="007C3FF5">
        <w:rPr>
          <w:rFonts w:ascii="Times New Roman" w:hAnsi="Times New Roman"/>
          <w:color w:val="000000"/>
        </w:rPr>
        <w:t>gives the</w:t>
      </w:r>
      <w:r w:rsidRPr="007C3FF5">
        <w:rPr>
          <w:rFonts w:ascii="Times New Roman" w:hAnsi="Times New Roman"/>
          <w:color w:val="000000"/>
        </w:rPr>
        <w:t xml:space="preserve"> GFCF final demand column </w:t>
      </w:r>
      <w:r w:rsidR="005501F9" w:rsidRPr="007C3FF5">
        <w:rPr>
          <w:rFonts w:ascii="Times New Roman" w:hAnsi="Times New Roman"/>
          <w:color w:val="000000"/>
        </w:rPr>
        <w:t xml:space="preserve">split by product </w:t>
      </w:r>
      <w:r w:rsidRPr="007C3FF5">
        <w:rPr>
          <w:rFonts w:ascii="Times New Roman" w:hAnsi="Times New Roman"/>
          <w:color w:val="000000"/>
        </w:rPr>
        <w:t xml:space="preserve">for the Use table. </w:t>
      </w:r>
    </w:p>
    <w:p w:rsidR="000B2DF7" w:rsidRPr="007C3FF5" w:rsidRDefault="000B2DF7" w:rsidP="000B2DF7">
      <w:pPr>
        <w:pStyle w:val="NoSpacing"/>
        <w:spacing w:line="276" w:lineRule="auto"/>
        <w:ind w:left="426"/>
        <w:jc w:val="both"/>
        <w:rPr>
          <w:rFonts w:ascii="Times New Roman" w:hAnsi="Times New Roman"/>
          <w:color w:val="000000"/>
        </w:rPr>
      </w:pPr>
    </w:p>
    <w:p w:rsidR="001C5A54" w:rsidRPr="007C3FF5" w:rsidRDefault="001C5A54" w:rsidP="000B2DF7">
      <w:pPr>
        <w:pStyle w:val="Heading3"/>
        <w:rPr>
          <w:rFonts w:ascii="Times New Roman" w:hAnsi="Times New Roman" w:cs="Times New Roman"/>
          <w:lang w:bidi="ar-SA"/>
        </w:rPr>
      </w:pPr>
      <w:bookmarkStart w:id="36" w:name="_Toc383010502"/>
      <w:r w:rsidRPr="007C3FF5">
        <w:rPr>
          <w:rFonts w:ascii="Times New Roman" w:hAnsi="Times New Roman" w:cs="Times New Roman"/>
          <w:lang w:bidi="ar-SA"/>
        </w:rPr>
        <w:t>Valuables</w:t>
      </w:r>
      <w:bookmarkEnd w:id="36"/>
      <w:r w:rsidRPr="007C3FF5">
        <w:rPr>
          <w:rFonts w:ascii="Times New Roman" w:hAnsi="Times New Roman" w:cs="Times New Roman"/>
          <w:lang w:bidi="ar-SA"/>
        </w:rPr>
        <w:t xml:space="preserve"> </w:t>
      </w:r>
    </w:p>
    <w:p w:rsidR="000B2DF7" w:rsidRPr="007C3FF5" w:rsidRDefault="000B2DF7" w:rsidP="000B2DF7">
      <w:pPr>
        <w:pStyle w:val="NoSpacing"/>
        <w:spacing w:line="276" w:lineRule="auto"/>
        <w:ind w:left="426"/>
        <w:jc w:val="both"/>
        <w:rPr>
          <w:rFonts w:ascii="Times New Roman" w:hAnsi="Times New Roman"/>
          <w:color w:val="000000"/>
        </w:rPr>
      </w:pPr>
    </w:p>
    <w:p w:rsidR="001C5A54" w:rsidRPr="007C3FF5" w:rsidRDefault="001C5A54"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Due to its very small size, data on acquisitions less disposals of valuables </w:t>
      </w:r>
      <w:r w:rsidR="005501F9" w:rsidRPr="007C3FF5">
        <w:rPr>
          <w:rFonts w:ascii="Times New Roman" w:hAnsi="Times New Roman"/>
          <w:color w:val="000000"/>
        </w:rPr>
        <w:t>were</w:t>
      </w:r>
      <w:r w:rsidR="00E77B26" w:rsidRPr="007C3FF5">
        <w:rPr>
          <w:rFonts w:ascii="Times New Roman" w:hAnsi="Times New Roman"/>
          <w:color w:val="000000"/>
        </w:rPr>
        <w:t xml:space="preserve"> not estimated</w:t>
      </w:r>
      <w:r w:rsidRPr="007C3FF5">
        <w:rPr>
          <w:rFonts w:ascii="Times New Roman" w:hAnsi="Times New Roman"/>
          <w:color w:val="000000"/>
        </w:rPr>
        <w:t xml:space="preserve"> for Northern Ireland</w:t>
      </w:r>
      <w:r w:rsidR="00E77B26" w:rsidRPr="007C3FF5">
        <w:rPr>
          <w:rFonts w:ascii="Times New Roman" w:hAnsi="Times New Roman"/>
          <w:color w:val="000000"/>
        </w:rPr>
        <w:t xml:space="preserve">.   </w:t>
      </w:r>
    </w:p>
    <w:p w:rsidR="000B2DF7" w:rsidRPr="007C3FF5" w:rsidRDefault="000B2DF7" w:rsidP="000B2DF7">
      <w:pPr>
        <w:pStyle w:val="NoSpacing"/>
        <w:spacing w:line="276" w:lineRule="auto"/>
        <w:ind w:left="426"/>
        <w:jc w:val="both"/>
        <w:rPr>
          <w:rFonts w:ascii="Times New Roman" w:hAnsi="Times New Roman"/>
          <w:color w:val="000000"/>
        </w:rPr>
      </w:pPr>
    </w:p>
    <w:p w:rsidR="001C5A54" w:rsidRPr="007C3FF5" w:rsidRDefault="001C5A54" w:rsidP="000B2DF7">
      <w:pPr>
        <w:pStyle w:val="Heading3"/>
        <w:rPr>
          <w:rFonts w:ascii="Times New Roman" w:hAnsi="Times New Roman" w:cs="Times New Roman"/>
          <w:lang w:bidi="ar-SA"/>
        </w:rPr>
      </w:pPr>
      <w:bookmarkStart w:id="37" w:name="_Toc383010503"/>
      <w:r w:rsidRPr="007C3FF5">
        <w:rPr>
          <w:rFonts w:ascii="Times New Roman" w:hAnsi="Times New Roman" w:cs="Times New Roman"/>
          <w:lang w:bidi="ar-SA"/>
        </w:rPr>
        <w:t>Change in Inventories</w:t>
      </w:r>
      <w:bookmarkEnd w:id="37"/>
      <w:r w:rsidRPr="007C3FF5">
        <w:rPr>
          <w:rFonts w:ascii="Times New Roman" w:hAnsi="Times New Roman" w:cs="Times New Roman"/>
          <w:lang w:bidi="ar-SA"/>
        </w:rPr>
        <w:t xml:space="preserve"> </w:t>
      </w:r>
    </w:p>
    <w:p w:rsidR="000B2DF7" w:rsidRPr="007C3FF5" w:rsidRDefault="000B2DF7" w:rsidP="000B2DF7">
      <w:pPr>
        <w:pStyle w:val="NoSpacing"/>
        <w:spacing w:line="276" w:lineRule="auto"/>
        <w:ind w:left="426"/>
        <w:jc w:val="both"/>
        <w:rPr>
          <w:rFonts w:ascii="Times New Roman" w:hAnsi="Times New Roman"/>
          <w:color w:val="000000"/>
        </w:rPr>
      </w:pPr>
    </w:p>
    <w:p w:rsidR="003776CF" w:rsidRPr="007C3FF5" w:rsidRDefault="00FF7C29"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ABI </w:t>
      </w:r>
      <w:r w:rsidR="00E015F0" w:rsidRPr="007C3FF5">
        <w:rPr>
          <w:rFonts w:ascii="Times New Roman" w:hAnsi="Times New Roman"/>
          <w:color w:val="000000"/>
        </w:rPr>
        <w:t>provides</w:t>
      </w:r>
      <w:r w:rsidRPr="007C3FF5">
        <w:rPr>
          <w:rFonts w:ascii="Times New Roman" w:hAnsi="Times New Roman"/>
          <w:color w:val="000000"/>
        </w:rPr>
        <w:t xml:space="preserve"> information about aggregate stock levels at the beginning and end of the year.  The UK GDP deflator was </w:t>
      </w:r>
      <w:r w:rsidR="003776CF" w:rsidRPr="007C3FF5">
        <w:rPr>
          <w:rFonts w:ascii="Times New Roman" w:hAnsi="Times New Roman"/>
          <w:color w:val="000000"/>
        </w:rPr>
        <w:t>applied to start year and end year stocks to calculate the change in inventories valued consistently in the average prices of the year.</w:t>
      </w:r>
      <w:r w:rsidR="00262951" w:rsidRPr="007C3FF5">
        <w:rPr>
          <w:rFonts w:ascii="Times New Roman" w:hAnsi="Times New Roman"/>
          <w:color w:val="000000"/>
        </w:rPr>
        <w:t xml:space="preserve">  This was then split across products in line with UK proportions.</w:t>
      </w:r>
    </w:p>
    <w:p w:rsidR="000B2DF7" w:rsidRPr="007C3FF5" w:rsidRDefault="000B2DF7" w:rsidP="000B2DF7">
      <w:pPr>
        <w:pStyle w:val="NoSpacing"/>
        <w:spacing w:line="276" w:lineRule="auto"/>
        <w:ind w:left="426"/>
        <w:jc w:val="both"/>
        <w:rPr>
          <w:rFonts w:ascii="Times New Roman" w:hAnsi="Times New Roman"/>
          <w:color w:val="000000"/>
        </w:rPr>
      </w:pPr>
    </w:p>
    <w:p w:rsidR="001C5A54" w:rsidRPr="007C3FF5" w:rsidRDefault="001C5A54" w:rsidP="000B2DF7">
      <w:pPr>
        <w:pStyle w:val="Heading2"/>
        <w:ind w:left="426"/>
        <w:rPr>
          <w:rFonts w:ascii="Times New Roman" w:hAnsi="Times New Roman" w:cs="Times New Roman"/>
          <w:lang w:bidi="ar-SA"/>
        </w:rPr>
      </w:pPr>
      <w:bookmarkStart w:id="38" w:name="_Toc383010504"/>
      <w:r w:rsidRPr="007C3FF5">
        <w:rPr>
          <w:rFonts w:ascii="Times New Roman" w:hAnsi="Times New Roman" w:cs="Times New Roman"/>
          <w:lang w:bidi="ar-SA"/>
        </w:rPr>
        <w:t>Exports</w:t>
      </w:r>
      <w:bookmarkEnd w:id="38"/>
      <w:r w:rsidRPr="007C3FF5">
        <w:rPr>
          <w:rFonts w:ascii="Times New Roman" w:hAnsi="Times New Roman" w:cs="Times New Roman"/>
          <w:lang w:bidi="ar-SA"/>
        </w:rPr>
        <w:t xml:space="preserve"> </w:t>
      </w:r>
    </w:p>
    <w:p w:rsidR="000B2DF7" w:rsidRPr="007C3FF5" w:rsidRDefault="000B2DF7" w:rsidP="000B2DF7">
      <w:pPr>
        <w:pStyle w:val="NoSpacing"/>
        <w:spacing w:line="276" w:lineRule="auto"/>
        <w:ind w:left="426"/>
        <w:jc w:val="both"/>
        <w:rPr>
          <w:rFonts w:ascii="Times New Roman" w:hAnsi="Times New Roman"/>
          <w:color w:val="000000"/>
        </w:rPr>
      </w:pPr>
    </w:p>
    <w:p w:rsidR="00090673" w:rsidRPr="007C3FF5" w:rsidRDefault="00090673"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A four-way geographical split of exports is required: Great Britain, Ireland, </w:t>
      </w:r>
      <w:proofErr w:type="gramStart"/>
      <w:r w:rsidRPr="007C3FF5">
        <w:rPr>
          <w:rFonts w:ascii="Times New Roman" w:hAnsi="Times New Roman"/>
          <w:color w:val="000000"/>
        </w:rPr>
        <w:t>Rest</w:t>
      </w:r>
      <w:proofErr w:type="gramEnd"/>
      <w:r w:rsidRPr="007C3FF5">
        <w:rPr>
          <w:rFonts w:ascii="Times New Roman" w:hAnsi="Times New Roman"/>
          <w:color w:val="000000"/>
        </w:rPr>
        <w:t xml:space="preserve"> of the EU and Rest of the World.</w:t>
      </w:r>
    </w:p>
    <w:p w:rsidR="000B2DF7" w:rsidRPr="007C3FF5" w:rsidRDefault="000B2DF7" w:rsidP="000B2DF7">
      <w:pPr>
        <w:pStyle w:val="NoSpacing"/>
        <w:spacing w:line="276" w:lineRule="auto"/>
        <w:ind w:left="426"/>
        <w:jc w:val="both"/>
        <w:rPr>
          <w:rFonts w:ascii="Times New Roman" w:hAnsi="Times New Roman"/>
          <w:color w:val="000000"/>
        </w:rPr>
      </w:pPr>
    </w:p>
    <w:p w:rsidR="00057E01" w:rsidRPr="007C3FF5" w:rsidRDefault="001C5A54"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values of exports </w:t>
      </w:r>
      <w:r w:rsidR="00090673" w:rsidRPr="007C3FF5">
        <w:rPr>
          <w:rFonts w:ascii="Times New Roman" w:hAnsi="Times New Roman"/>
          <w:color w:val="000000"/>
        </w:rPr>
        <w:t xml:space="preserve">of goods </w:t>
      </w:r>
      <w:r w:rsidRPr="007C3FF5">
        <w:rPr>
          <w:rFonts w:ascii="Times New Roman" w:hAnsi="Times New Roman"/>
          <w:color w:val="000000"/>
        </w:rPr>
        <w:t xml:space="preserve">by </w:t>
      </w:r>
      <w:r w:rsidR="00F21DBE" w:rsidRPr="007C3FF5">
        <w:rPr>
          <w:rFonts w:ascii="Times New Roman" w:hAnsi="Times New Roman"/>
          <w:color w:val="000000"/>
        </w:rPr>
        <w:t>product</w:t>
      </w:r>
      <w:r w:rsidRPr="007C3FF5">
        <w:rPr>
          <w:rFonts w:ascii="Times New Roman" w:hAnsi="Times New Roman"/>
          <w:color w:val="000000"/>
        </w:rPr>
        <w:t xml:space="preserve"> to </w:t>
      </w:r>
      <w:r w:rsidR="00F21DBE" w:rsidRPr="007C3FF5">
        <w:rPr>
          <w:rFonts w:ascii="Times New Roman" w:hAnsi="Times New Roman"/>
          <w:color w:val="000000"/>
        </w:rPr>
        <w:t xml:space="preserve">Ireland, </w:t>
      </w:r>
      <w:r w:rsidRPr="007C3FF5">
        <w:rPr>
          <w:rFonts w:ascii="Times New Roman" w:hAnsi="Times New Roman"/>
          <w:color w:val="000000"/>
        </w:rPr>
        <w:t xml:space="preserve">Rest of the </w:t>
      </w:r>
      <w:r w:rsidR="00F21DBE" w:rsidRPr="007C3FF5">
        <w:rPr>
          <w:rFonts w:ascii="Times New Roman" w:hAnsi="Times New Roman"/>
          <w:color w:val="000000"/>
        </w:rPr>
        <w:t>EU</w:t>
      </w:r>
      <w:r w:rsidRPr="007C3FF5">
        <w:rPr>
          <w:rFonts w:ascii="Times New Roman" w:hAnsi="Times New Roman"/>
          <w:color w:val="000000"/>
        </w:rPr>
        <w:t xml:space="preserve"> and Rest of World are available from</w:t>
      </w:r>
      <w:r w:rsidR="00F21DBE" w:rsidRPr="007C3FF5">
        <w:rPr>
          <w:rFonts w:ascii="Times New Roman" w:hAnsi="Times New Roman"/>
          <w:color w:val="000000"/>
        </w:rPr>
        <w:t xml:space="preserve"> HMRC’s Regional Trade Statistics</w:t>
      </w:r>
      <w:r w:rsidR="00E3698C" w:rsidRPr="007C3FF5">
        <w:rPr>
          <w:rFonts w:ascii="Times New Roman" w:hAnsi="Times New Roman"/>
          <w:color w:val="000000"/>
        </w:rPr>
        <w:t>, and are mapped from standard international trade classification (SITC) to CPA.</w:t>
      </w:r>
      <w:r w:rsidR="002261A7" w:rsidRPr="007C3FF5">
        <w:rPr>
          <w:rFonts w:ascii="Times New Roman" w:hAnsi="Times New Roman"/>
          <w:color w:val="000000"/>
        </w:rPr>
        <w:t xml:space="preserve">  </w:t>
      </w:r>
    </w:p>
    <w:p w:rsidR="000B2DF7" w:rsidRPr="007C3FF5" w:rsidRDefault="000B2DF7" w:rsidP="000B2DF7">
      <w:pPr>
        <w:pStyle w:val="NoSpacing"/>
        <w:spacing w:line="276" w:lineRule="auto"/>
        <w:ind w:left="426"/>
        <w:jc w:val="both"/>
        <w:rPr>
          <w:rFonts w:ascii="Times New Roman" w:hAnsi="Times New Roman"/>
          <w:color w:val="000000"/>
        </w:rPr>
      </w:pPr>
    </w:p>
    <w:p w:rsidR="0069684B" w:rsidRPr="007C3FF5" w:rsidRDefault="0069684B"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w:t>
      </w:r>
      <w:r w:rsidR="00057E01" w:rsidRPr="007C3FF5">
        <w:rPr>
          <w:rFonts w:ascii="Times New Roman" w:hAnsi="Times New Roman"/>
          <w:color w:val="000000"/>
        </w:rPr>
        <w:t xml:space="preserve">Northern Ireland </w:t>
      </w:r>
      <w:r w:rsidRPr="007C3FF5">
        <w:rPr>
          <w:rFonts w:ascii="Times New Roman" w:hAnsi="Times New Roman"/>
          <w:color w:val="000000"/>
        </w:rPr>
        <w:t>Manufacturing Sales and Exports S</w:t>
      </w:r>
      <w:r w:rsidR="00057E01" w:rsidRPr="007C3FF5">
        <w:rPr>
          <w:rFonts w:ascii="Times New Roman" w:hAnsi="Times New Roman"/>
          <w:color w:val="000000"/>
        </w:rPr>
        <w:t>urvey</w:t>
      </w:r>
      <w:r w:rsidR="005501F9" w:rsidRPr="007C3FF5">
        <w:rPr>
          <w:rFonts w:ascii="Times New Roman" w:hAnsi="Times New Roman"/>
          <w:color w:val="000000"/>
        </w:rPr>
        <w:t xml:space="preserve"> (MSES)</w:t>
      </w:r>
      <w:r w:rsidR="00057E01" w:rsidRPr="007C3FF5">
        <w:rPr>
          <w:rFonts w:ascii="Times New Roman" w:hAnsi="Times New Roman"/>
          <w:color w:val="000000"/>
        </w:rPr>
        <w:t xml:space="preserve"> </w:t>
      </w:r>
      <w:proofErr w:type="gramStart"/>
      <w:r w:rsidR="00057E01" w:rsidRPr="007C3FF5">
        <w:rPr>
          <w:rFonts w:ascii="Times New Roman" w:hAnsi="Times New Roman"/>
          <w:color w:val="000000"/>
        </w:rPr>
        <w:t>provides</w:t>
      </w:r>
      <w:proofErr w:type="gramEnd"/>
      <w:r w:rsidR="00057E01" w:rsidRPr="007C3FF5">
        <w:rPr>
          <w:rFonts w:ascii="Times New Roman" w:hAnsi="Times New Roman"/>
          <w:color w:val="000000"/>
        </w:rPr>
        <w:t xml:space="preserve"> </w:t>
      </w:r>
      <w:r w:rsidR="00920438" w:rsidRPr="007C3FF5">
        <w:rPr>
          <w:rFonts w:ascii="Times New Roman" w:hAnsi="Times New Roman"/>
          <w:color w:val="000000"/>
        </w:rPr>
        <w:t>figures</w:t>
      </w:r>
      <w:r w:rsidR="00057E01" w:rsidRPr="007C3FF5">
        <w:rPr>
          <w:rFonts w:ascii="Times New Roman" w:hAnsi="Times New Roman"/>
          <w:color w:val="000000"/>
        </w:rPr>
        <w:t xml:space="preserve"> f</w:t>
      </w:r>
      <w:r w:rsidR="00920438" w:rsidRPr="007C3FF5">
        <w:rPr>
          <w:rFonts w:ascii="Times New Roman" w:hAnsi="Times New Roman"/>
          <w:color w:val="000000"/>
        </w:rPr>
        <w:t>or</w:t>
      </w:r>
      <w:r w:rsidR="00057E01" w:rsidRPr="007C3FF5">
        <w:rPr>
          <w:rFonts w:ascii="Times New Roman" w:hAnsi="Times New Roman"/>
          <w:color w:val="000000"/>
        </w:rPr>
        <w:t xml:space="preserve"> the geographical destination (including Great Britain) of manufacture</w:t>
      </w:r>
      <w:r w:rsidR="005501F9" w:rsidRPr="007C3FF5">
        <w:rPr>
          <w:rFonts w:ascii="Times New Roman" w:hAnsi="Times New Roman"/>
          <w:color w:val="000000"/>
        </w:rPr>
        <w:t>d</w:t>
      </w:r>
      <w:r w:rsidR="00057E01" w:rsidRPr="007C3FF5">
        <w:rPr>
          <w:rFonts w:ascii="Times New Roman" w:hAnsi="Times New Roman"/>
          <w:color w:val="000000"/>
        </w:rPr>
        <w:t xml:space="preserve"> products </w:t>
      </w:r>
      <w:proofErr w:type="spellStart"/>
      <w:r w:rsidR="00057E01" w:rsidRPr="007C3FF5">
        <w:rPr>
          <w:rFonts w:ascii="Times New Roman" w:hAnsi="Times New Roman"/>
          <w:color w:val="000000"/>
        </w:rPr>
        <w:t>categorised</w:t>
      </w:r>
      <w:proofErr w:type="spellEnd"/>
      <w:r w:rsidR="00057E01" w:rsidRPr="007C3FF5">
        <w:rPr>
          <w:rFonts w:ascii="Times New Roman" w:hAnsi="Times New Roman"/>
          <w:color w:val="000000"/>
        </w:rPr>
        <w:t xml:space="preserve"> by industry.  </w:t>
      </w:r>
    </w:p>
    <w:p w:rsidR="000B2DF7" w:rsidRPr="007C3FF5" w:rsidRDefault="000B2DF7" w:rsidP="000B2DF7">
      <w:pPr>
        <w:pStyle w:val="NoSpacing"/>
        <w:spacing w:line="276" w:lineRule="auto"/>
        <w:ind w:left="426"/>
        <w:jc w:val="both"/>
        <w:rPr>
          <w:rFonts w:ascii="Times New Roman" w:hAnsi="Times New Roman"/>
          <w:color w:val="000000"/>
        </w:rPr>
      </w:pPr>
    </w:p>
    <w:p w:rsidR="00920438" w:rsidRPr="007C3FF5" w:rsidRDefault="00920438"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goods, the net balance of demand over supply by product was calculated, and allocated to imports from GB if demand exceeded supply, </w:t>
      </w:r>
      <w:r w:rsidR="00175FD6" w:rsidRPr="007C3FF5">
        <w:rPr>
          <w:rFonts w:ascii="Times New Roman" w:hAnsi="Times New Roman"/>
          <w:color w:val="000000"/>
        </w:rPr>
        <w:t>or</w:t>
      </w:r>
      <w:r w:rsidRPr="007C3FF5">
        <w:rPr>
          <w:rFonts w:ascii="Times New Roman" w:hAnsi="Times New Roman"/>
          <w:color w:val="000000"/>
        </w:rPr>
        <w:t xml:space="preserve"> allocated to exports to GB if supply exceeded demand</w:t>
      </w:r>
      <w:r w:rsidR="005501F9" w:rsidRPr="007C3FF5">
        <w:rPr>
          <w:rFonts w:ascii="Times New Roman" w:hAnsi="Times New Roman"/>
          <w:color w:val="000000"/>
        </w:rPr>
        <w:t xml:space="preserve"> for non-manufactured goods (exports to GB for manufactured goods were assumed to be covered by the MSES)</w:t>
      </w:r>
      <w:r w:rsidRPr="007C3FF5">
        <w:rPr>
          <w:rFonts w:ascii="Times New Roman" w:hAnsi="Times New Roman"/>
          <w:color w:val="000000"/>
        </w:rPr>
        <w:t>. The same was not done for services, as some of the imbalances looked implausibl</w:t>
      </w:r>
      <w:r w:rsidR="00090673" w:rsidRPr="007C3FF5">
        <w:rPr>
          <w:rFonts w:ascii="Times New Roman" w:hAnsi="Times New Roman"/>
          <w:color w:val="000000"/>
        </w:rPr>
        <w:t>e</w:t>
      </w:r>
      <w:r w:rsidRPr="007C3FF5">
        <w:rPr>
          <w:rFonts w:ascii="Times New Roman" w:hAnsi="Times New Roman"/>
          <w:color w:val="000000"/>
        </w:rPr>
        <w:t>.</w:t>
      </w:r>
    </w:p>
    <w:p w:rsidR="000B2DF7" w:rsidRPr="007C3FF5" w:rsidRDefault="000B2DF7" w:rsidP="000B2DF7">
      <w:pPr>
        <w:pStyle w:val="NoSpacing"/>
        <w:spacing w:line="276" w:lineRule="auto"/>
        <w:ind w:left="426"/>
        <w:jc w:val="both"/>
        <w:rPr>
          <w:rFonts w:ascii="Times New Roman" w:hAnsi="Times New Roman"/>
          <w:color w:val="000000"/>
        </w:rPr>
      </w:pPr>
    </w:p>
    <w:p w:rsidR="00C56B7D" w:rsidRPr="007C3FF5" w:rsidRDefault="002261A7"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Exports of services for certain industries are available from the survey of International Trade in Services, while exports of travel services </w:t>
      </w:r>
      <w:r w:rsidR="00FD32C0" w:rsidRPr="007C3FF5">
        <w:rPr>
          <w:rFonts w:ascii="Times New Roman" w:hAnsi="Times New Roman"/>
          <w:color w:val="000000"/>
        </w:rPr>
        <w:t>(i</w:t>
      </w:r>
      <w:r w:rsidR="005B2412" w:rsidRPr="007C3FF5">
        <w:rPr>
          <w:rFonts w:ascii="Times New Roman" w:hAnsi="Times New Roman"/>
          <w:color w:val="000000"/>
        </w:rPr>
        <w:t>.</w:t>
      </w:r>
      <w:r w:rsidR="00FD32C0" w:rsidRPr="007C3FF5">
        <w:rPr>
          <w:rFonts w:ascii="Times New Roman" w:hAnsi="Times New Roman"/>
          <w:color w:val="000000"/>
        </w:rPr>
        <w:t>e</w:t>
      </w:r>
      <w:r w:rsidR="005B2412" w:rsidRPr="007C3FF5">
        <w:rPr>
          <w:rFonts w:ascii="Times New Roman" w:hAnsi="Times New Roman"/>
          <w:color w:val="000000"/>
        </w:rPr>
        <w:t>.</w:t>
      </w:r>
      <w:r w:rsidR="00FD32C0" w:rsidRPr="007C3FF5">
        <w:rPr>
          <w:rFonts w:ascii="Times New Roman" w:hAnsi="Times New Roman"/>
          <w:color w:val="000000"/>
        </w:rPr>
        <w:t xml:space="preserve"> non-residents’ expenditure in Northern Ireland) </w:t>
      </w:r>
      <w:r w:rsidRPr="007C3FF5">
        <w:rPr>
          <w:rFonts w:ascii="Times New Roman" w:hAnsi="Times New Roman"/>
          <w:color w:val="000000"/>
        </w:rPr>
        <w:t>are available from tourism statistics</w:t>
      </w:r>
      <w:r w:rsidR="00C56B7D" w:rsidRPr="007C3FF5">
        <w:rPr>
          <w:rFonts w:ascii="Times New Roman" w:hAnsi="Times New Roman"/>
          <w:color w:val="000000"/>
        </w:rPr>
        <w:t>.  The latter are</w:t>
      </w:r>
      <w:r w:rsidR="00FD32C0" w:rsidRPr="007C3FF5">
        <w:rPr>
          <w:rFonts w:ascii="Times New Roman" w:hAnsi="Times New Roman"/>
          <w:color w:val="000000"/>
        </w:rPr>
        <w:t xml:space="preserve"> </w:t>
      </w:r>
      <w:r w:rsidR="00C56B7D" w:rsidRPr="007C3FF5">
        <w:rPr>
          <w:rFonts w:ascii="Times New Roman" w:hAnsi="Times New Roman"/>
          <w:color w:val="000000"/>
        </w:rPr>
        <w:t xml:space="preserve">calculated separately for each of the </w:t>
      </w:r>
      <w:r w:rsidR="00F90FB2" w:rsidRPr="007C3FF5">
        <w:rPr>
          <w:rFonts w:ascii="Times New Roman" w:hAnsi="Times New Roman"/>
          <w:color w:val="000000"/>
        </w:rPr>
        <w:t xml:space="preserve">desired </w:t>
      </w:r>
      <w:r w:rsidR="00C56B7D" w:rsidRPr="007C3FF5">
        <w:rPr>
          <w:rFonts w:ascii="Times New Roman" w:hAnsi="Times New Roman"/>
          <w:color w:val="000000"/>
        </w:rPr>
        <w:t xml:space="preserve">four geographical areas as follows: </w:t>
      </w:r>
    </w:p>
    <w:p w:rsidR="000B2DF7" w:rsidRPr="007C3FF5" w:rsidRDefault="000B2DF7" w:rsidP="000B2DF7">
      <w:pPr>
        <w:pStyle w:val="NoSpacing"/>
        <w:spacing w:line="276" w:lineRule="auto"/>
        <w:ind w:left="426"/>
        <w:jc w:val="both"/>
        <w:rPr>
          <w:rFonts w:ascii="Times New Roman" w:hAnsi="Times New Roman"/>
          <w:color w:val="000000"/>
        </w:rPr>
      </w:pPr>
    </w:p>
    <w:p w:rsidR="00F90FB2" w:rsidRPr="007C3FF5" w:rsidRDefault="00F90FB2" w:rsidP="00225BB1">
      <w:pPr>
        <w:pStyle w:val="NoSpacing"/>
        <w:numPr>
          <w:ilvl w:val="0"/>
          <w:numId w:val="6"/>
        </w:numPr>
        <w:spacing w:line="276" w:lineRule="auto"/>
        <w:jc w:val="both"/>
        <w:rPr>
          <w:rFonts w:ascii="Times New Roman" w:hAnsi="Times New Roman"/>
        </w:rPr>
      </w:pPr>
      <w:r w:rsidRPr="007C3FF5">
        <w:rPr>
          <w:rFonts w:ascii="Times New Roman" w:hAnsi="Times New Roman"/>
        </w:rPr>
        <w:t>Surveys of visitors to Northern Ireland provide:</w:t>
      </w:r>
    </w:p>
    <w:p w:rsidR="005B2412" w:rsidRPr="007C3FF5" w:rsidRDefault="005B2412" w:rsidP="005B2412">
      <w:pPr>
        <w:pStyle w:val="NoSpacing"/>
        <w:spacing w:line="276" w:lineRule="auto"/>
        <w:ind w:left="786"/>
        <w:jc w:val="both"/>
        <w:rPr>
          <w:rFonts w:ascii="Times New Roman" w:hAnsi="Times New Roman"/>
        </w:rPr>
      </w:pPr>
    </w:p>
    <w:p w:rsidR="00C56B7D" w:rsidRPr="007C3FF5" w:rsidRDefault="00F90FB2" w:rsidP="00225BB1">
      <w:pPr>
        <w:pStyle w:val="NoSpacing"/>
        <w:numPr>
          <w:ilvl w:val="1"/>
          <w:numId w:val="6"/>
        </w:numPr>
        <w:spacing w:line="276" w:lineRule="auto"/>
        <w:jc w:val="both"/>
        <w:rPr>
          <w:rFonts w:ascii="Times New Roman" w:hAnsi="Times New Roman"/>
        </w:rPr>
      </w:pPr>
      <w:r w:rsidRPr="007C3FF5">
        <w:rPr>
          <w:rFonts w:ascii="Times New Roman" w:hAnsi="Times New Roman"/>
        </w:rPr>
        <w:t xml:space="preserve"> total expenditure by area of residence (GB, Ireland, Rest of EU and Rest of World);</w:t>
      </w:r>
    </w:p>
    <w:p w:rsidR="00F90FB2" w:rsidRPr="007C3FF5" w:rsidRDefault="00F90FB2" w:rsidP="00225BB1">
      <w:pPr>
        <w:pStyle w:val="NoSpacing"/>
        <w:numPr>
          <w:ilvl w:val="1"/>
          <w:numId w:val="6"/>
        </w:numPr>
        <w:spacing w:line="276" w:lineRule="auto"/>
        <w:jc w:val="both"/>
        <w:rPr>
          <w:rFonts w:ascii="Times New Roman" w:hAnsi="Times New Roman"/>
        </w:rPr>
      </w:pPr>
      <w:r w:rsidRPr="007C3FF5">
        <w:rPr>
          <w:rFonts w:ascii="Times New Roman" w:hAnsi="Times New Roman"/>
        </w:rPr>
        <w:t>a breakdown of expenditure by broad category (</w:t>
      </w:r>
      <w:proofErr w:type="spellStart"/>
      <w:r w:rsidRPr="007C3FF5">
        <w:rPr>
          <w:rFonts w:ascii="Times New Roman" w:hAnsi="Times New Roman"/>
        </w:rPr>
        <w:t>eg</w:t>
      </w:r>
      <w:proofErr w:type="spellEnd"/>
      <w:r w:rsidRPr="007C3FF5">
        <w:rPr>
          <w:rFonts w:ascii="Times New Roman" w:hAnsi="Times New Roman"/>
        </w:rPr>
        <w:t xml:space="preserve"> bed &amp; board; food and drink) by purpose of visit</w:t>
      </w:r>
      <w:r w:rsidR="005B2412" w:rsidRPr="007C3FF5">
        <w:rPr>
          <w:rFonts w:ascii="Times New Roman" w:hAnsi="Times New Roman"/>
        </w:rPr>
        <w:t>;</w:t>
      </w:r>
    </w:p>
    <w:p w:rsidR="00F90FB2" w:rsidRPr="007C3FF5" w:rsidRDefault="00F90FB2" w:rsidP="00225BB1">
      <w:pPr>
        <w:pStyle w:val="NoSpacing"/>
        <w:numPr>
          <w:ilvl w:val="1"/>
          <w:numId w:val="6"/>
        </w:numPr>
        <w:spacing w:line="276" w:lineRule="auto"/>
        <w:jc w:val="both"/>
        <w:rPr>
          <w:rFonts w:ascii="Times New Roman" w:hAnsi="Times New Roman"/>
        </w:rPr>
      </w:pPr>
      <w:proofErr w:type="gramStart"/>
      <w:r w:rsidRPr="007C3FF5">
        <w:rPr>
          <w:rFonts w:ascii="Times New Roman" w:hAnsi="Times New Roman"/>
        </w:rPr>
        <w:t>a</w:t>
      </w:r>
      <w:proofErr w:type="gramEnd"/>
      <w:r w:rsidRPr="007C3FF5">
        <w:rPr>
          <w:rFonts w:ascii="Times New Roman" w:hAnsi="Times New Roman"/>
        </w:rPr>
        <w:t xml:space="preserve"> percentage split of area of residence by purpose of visit</w:t>
      </w:r>
      <w:r w:rsidR="005B2412" w:rsidRPr="007C3FF5">
        <w:rPr>
          <w:rFonts w:ascii="Times New Roman" w:hAnsi="Times New Roman"/>
        </w:rPr>
        <w:t>.</w:t>
      </w:r>
    </w:p>
    <w:p w:rsidR="005B2412" w:rsidRPr="007C3FF5" w:rsidRDefault="005B2412" w:rsidP="005B2412">
      <w:pPr>
        <w:pStyle w:val="NoSpacing"/>
        <w:spacing w:line="276" w:lineRule="auto"/>
        <w:ind w:left="786"/>
        <w:jc w:val="both"/>
        <w:rPr>
          <w:rFonts w:ascii="Times New Roman" w:hAnsi="Times New Roman"/>
        </w:rPr>
      </w:pPr>
    </w:p>
    <w:p w:rsidR="00F90FB2" w:rsidRPr="007C3FF5" w:rsidRDefault="000B2DF7"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These </w:t>
      </w:r>
      <w:r w:rsidR="00F90FB2" w:rsidRPr="007C3FF5">
        <w:rPr>
          <w:rFonts w:ascii="Times New Roman" w:hAnsi="Times New Roman"/>
        </w:rPr>
        <w:t>were combined to give expenditure by broad category by area of residence</w:t>
      </w:r>
      <w:r w:rsidRPr="007C3FF5">
        <w:rPr>
          <w:rFonts w:ascii="Times New Roman" w:hAnsi="Times New Roman"/>
        </w:rPr>
        <w:t>; and</w:t>
      </w:r>
    </w:p>
    <w:p w:rsidR="00F90FB2" w:rsidRPr="007C3FF5" w:rsidRDefault="000B2DF7"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Expenditure </w:t>
      </w:r>
      <w:r w:rsidR="00F90FB2" w:rsidRPr="007C3FF5">
        <w:rPr>
          <w:rFonts w:ascii="Times New Roman" w:hAnsi="Times New Roman"/>
        </w:rPr>
        <w:t>by</w:t>
      </w:r>
      <w:r w:rsidRPr="007C3FF5">
        <w:rPr>
          <w:rFonts w:ascii="Times New Roman" w:hAnsi="Times New Roman"/>
        </w:rPr>
        <w:t xml:space="preserve"> broad category was then </w:t>
      </w:r>
      <w:r w:rsidR="005C1162" w:rsidRPr="007C3FF5">
        <w:rPr>
          <w:rFonts w:ascii="Times New Roman" w:hAnsi="Times New Roman"/>
        </w:rPr>
        <w:t xml:space="preserve">allocated to </w:t>
      </w:r>
      <w:r w:rsidR="00F90FB2" w:rsidRPr="007C3FF5">
        <w:rPr>
          <w:rFonts w:ascii="Times New Roman" w:hAnsi="Times New Roman"/>
        </w:rPr>
        <w:t>Supply Use product</w:t>
      </w:r>
      <w:r w:rsidR="005C1162" w:rsidRPr="007C3FF5">
        <w:rPr>
          <w:rFonts w:ascii="Times New Roman" w:hAnsi="Times New Roman"/>
        </w:rPr>
        <w:t>s using proportions derived from the export of travel services account in the UK Balance of Payments.</w:t>
      </w:r>
      <w:r w:rsidR="00F90FB2" w:rsidRPr="007C3FF5">
        <w:rPr>
          <w:rFonts w:ascii="Times New Roman" w:hAnsi="Times New Roman"/>
        </w:rPr>
        <w:t xml:space="preserve"> </w:t>
      </w:r>
    </w:p>
    <w:p w:rsidR="000B2DF7" w:rsidRPr="007C3FF5" w:rsidRDefault="000B2DF7" w:rsidP="000B2DF7">
      <w:pPr>
        <w:pStyle w:val="NoSpacing"/>
        <w:spacing w:line="276" w:lineRule="auto"/>
        <w:ind w:left="426"/>
        <w:jc w:val="both"/>
        <w:rPr>
          <w:rFonts w:ascii="Times New Roman" w:hAnsi="Times New Roman"/>
          <w:color w:val="000000"/>
        </w:rPr>
      </w:pPr>
    </w:p>
    <w:p w:rsidR="00F87687" w:rsidRPr="007C3FF5" w:rsidRDefault="00FD32C0" w:rsidP="000B2DF7">
      <w:pPr>
        <w:pStyle w:val="NoSpacing"/>
        <w:spacing w:line="276" w:lineRule="auto"/>
        <w:ind w:left="426"/>
        <w:jc w:val="both"/>
        <w:rPr>
          <w:rFonts w:ascii="Times New Roman" w:hAnsi="Times New Roman"/>
          <w:color w:val="000000"/>
        </w:rPr>
      </w:pPr>
      <w:r w:rsidRPr="007C3FF5">
        <w:rPr>
          <w:rFonts w:ascii="Times New Roman" w:hAnsi="Times New Roman"/>
          <w:color w:val="000000"/>
        </w:rPr>
        <w:t>There is no good information</w:t>
      </w:r>
      <w:r w:rsidR="008063F5" w:rsidRPr="007C3FF5">
        <w:rPr>
          <w:rFonts w:ascii="Times New Roman" w:hAnsi="Times New Roman"/>
          <w:color w:val="000000"/>
        </w:rPr>
        <w:t xml:space="preserve"> for exports of other services. </w:t>
      </w:r>
      <w:r w:rsidR="00A073D3" w:rsidRPr="007C3FF5">
        <w:rPr>
          <w:rFonts w:ascii="Times New Roman" w:hAnsi="Times New Roman"/>
          <w:color w:val="000000"/>
        </w:rPr>
        <w:t xml:space="preserve">  These were left as zero in the trial balance. </w:t>
      </w:r>
    </w:p>
    <w:p w:rsidR="000B2DF7" w:rsidRPr="007C3FF5" w:rsidRDefault="000B2DF7" w:rsidP="000B2DF7">
      <w:pPr>
        <w:pStyle w:val="NoSpacing"/>
        <w:spacing w:line="276" w:lineRule="auto"/>
        <w:ind w:left="426"/>
        <w:jc w:val="both"/>
        <w:rPr>
          <w:rFonts w:ascii="Times New Roman" w:hAnsi="Times New Roman"/>
          <w:color w:val="000000"/>
        </w:rPr>
      </w:pPr>
    </w:p>
    <w:p w:rsidR="00F87687" w:rsidRPr="007C3FF5" w:rsidRDefault="00F87687" w:rsidP="000B2DF7">
      <w:pPr>
        <w:pStyle w:val="Heading2"/>
        <w:ind w:left="426"/>
        <w:rPr>
          <w:rFonts w:ascii="Times New Roman" w:hAnsi="Times New Roman" w:cs="Times New Roman"/>
          <w:lang w:bidi="ar-SA"/>
        </w:rPr>
      </w:pPr>
      <w:bookmarkStart w:id="39" w:name="_Toc383010505"/>
      <w:r w:rsidRPr="007C3FF5">
        <w:rPr>
          <w:rFonts w:ascii="Times New Roman" w:hAnsi="Times New Roman" w:cs="Times New Roman"/>
          <w:lang w:bidi="ar-SA"/>
        </w:rPr>
        <w:t>Imports</w:t>
      </w:r>
      <w:bookmarkEnd w:id="39"/>
    </w:p>
    <w:p w:rsidR="00F87687" w:rsidRPr="007C3FF5" w:rsidRDefault="00F87687" w:rsidP="005B2412">
      <w:pPr>
        <w:pStyle w:val="NoSpacing"/>
        <w:spacing w:line="276" w:lineRule="auto"/>
        <w:ind w:left="426"/>
        <w:jc w:val="both"/>
        <w:rPr>
          <w:rFonts w:ascii="Times New Roman" w:hAnsi="Times New Roman"/>
          <w:color w:val="000000"/>
        </w:rPr>
      </w:pPr>
    </w:p>
    <w:p w:rsidR="00F87687" w:rsidRPr="007C3FF5" w:rsidRDefault="00492020"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I</w:t>
      </w:r>
      <w:r w:rsidR="00175FD6" w:rsidRPr="007C3FF5">
        <w:rPr>
          <w:rFonts w:ascii="Times New Roman" w:hAnsi="Times New Roman"/>
          <w:color w:val="000000"/>
        </w:rPr>
        <w:t>m</w:t>
      </w:r>
      <w:r w:rsidR="00F87687" w:rsidRPr="007C3FF5">
        <w:rPr>
          <w:rFonts w:ascii="Times New Roman" w:hAnsi="Times New Roman"/>
          <w:color w:val="000000"/>
        </w:rPr>
        <w:t xml:space="preserve">ports </w:t>
      </w:r>
      <w:r w:rsidR="00090673" w:rsidRPr="007C3FF5">
        <w:rPr>
          <w:rFonts w:ascii="Times New Roman" w:hAnsi="Times New Roman"/>
          <w:color w:val="000000"/>
        </w:rPr>
        <w:t xml:space="preserve">of goods </w:t>
      </w:r>
      <w:r w:rsidR="00F87687" w:rsidRPr="007C3FF5">
        <w:rPr>
          <w:rFonts w:ascii="Times New Roman" w:hAnsi="Times New Roman"/>
          <w:color w:val="000000"/>
        </w:rPr>
        <w:t xml:space="preserve">by product </w:t>
      </w:r>
      <w:r w:rsidRPr="007C3FF5">
        <w:rPr>
          <w:rFonts w:ascii="Times New Roman" w:hAnsi="Times New Roman"/>
          <w:color w:val="000000"/>
        </w:rPr>
        <w:t>from</w:t>
      </w:r>
      <w:r w:rsidR="00F87687" w:rsidRPr="007C3FF5">
        <w:rPr>
          <w:rFonts w:ascii="Times New Roman" w:hAnsi="Times New Roman"/>
          <w:color w:val="000000"/>
        </w:rPr>
        <w:t xml:space="preserve"> Ireland, Rest of the EU and Rest of World are available from HMRC’s Regional Trade Statistics, and are mapped from standard international trade classification (SITC) to CPA.  </w:t>
      </w:r>
      <w:r w:rsidR="00090673" w:rsidRPr="007C3FF5">
        <w:rPr>
          <w:rFonts w:ascii="Times New Roman" w:hAnsi="Times New Roman"/>
          <w:color w:val="000000"/>
        </w:rPr>
        <w:t>There is no good information on imports from Great Britain for goods.</w:t>
      </w:r>
    </w:p>
    <w:p w:rsidR="005B2412" w:rsidRPr="007C3FF5" w:rsidRDefault="005B2412" w:rsidP="005B2412">
      <w:pPr>
        <w:pStyle w:val="NoSpacing"/>
        <w:spacing w:line="276" w:lineRule="auto"/>
        <w:ind w:left="426"/>
        <w:jc w:val="both"/>
        <w:rPr>
          <w:rFonts w:ascii="Times New Roman" w:hAnsi="Times New Roman"/>
          <w:color w:val="000000"/>
        </w:rPr>
      </w:pPr>
    </w:p>
    <w:p w:rsidR="00F87687" w:rsidRPr="007C3FF5" w:rsidRDefault="00F87687"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Imports of services for certain industries should in principle be available from the survey of International Trade in Services</w:t>
      </w:r>
      <w:r w:rsidR="00090673" w:rsidRPr="007C3FF5">
        <w:rPr>
          <w:rFonts w:ascii="Times New Roman" w:hAnsi="Times New Roman"/>
          <w:color w:val="000000"/>
        </w:rPr>
        <w:t>.  This needs to be followed up.</w:t>
      </w:r>
    </w:p>
    <w:p w:rsidR="005B2412" w:rsidRPr="007C3FF5" w:rsidRDefault="005B2412" w:rsidP="005B2412">
      <w:pPr>
        <w:pStyle w:val="NoSpacing"/>
        <w:spacing w:line="276" w:lineRule="auto"/>
        <w:ind w:left="426"/>
        <w:jc w:val="both"/>
        <w:rPr>
          <w:rFonts w:ascii="Times New Roman" w:hAnsi="Times New Roman"/>
          <w:color w:val="000000"/>
        </w:rPr>
      </w:pPr>
    </w:p>
    <w:p w:rsidR="00F87687" w:rsidRPr="007C3FF5" w:rsidRDefault="00F87687"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Imports of travel services (</w:t>
      </w:r>
      <w:proofErr w:type="spellStart"/>
      <w:r w:rsidRPr="007C3FF5">
        <w:rPr>
          <w:rFonts w:ascii="Times New Roman" w:hAnsi="Times New Roman"/>
          <w:color w:val="000000"/>
        </w:rPr>
        <w:t>ie</w:t>
      </w:r>
      <w:proofErr w:type="spellEnd"/>
      <w:r w:rsidRPr="007C3FF5">
        <w:rPr>
          <w:rFonts w:ascii="Times New Roman" w:hAnsi="Times New Roman"/>
          <w:color w:val="000000"/>
        </w:rPr>
        <w:t xml:space="preserve"> </w:t>
      </w:r>
      <w:r w:rsidR="00951864" w:rsidRPr="007C3FF5">
        <w:rPr>
          <w:rFonts w:ascii="Times New Roman" w:hAnsi="Times New Roman"/>
          <w:color w:val="000000"/>
        </w:rPr>
        <w:t>r</w:t>
      </w:r>
      <w:r w:rsidRPr="007C3FF5">
        <w:rPr>
          <w:rFonts w:ascii="Times New Roman" w:hAnsi="Times New Roman"/>
          <w:color w:val="000000"/>
        </w:rPr>
        <w:t xml:space="preserve">esidents’ expenditure </w:t>
      </w:r>
      <w:r w:rsidR="00951864" w:rsidRPr="007C3FF5">
        <w:rPr>
          <w:rFonts w:ascii="Times New Roman" w:hAnsi="Times New Roman"/>
          <w:color w:val="000000"/>
        </w:rPr>
        <w:t xml:space="preserve">outside </w:t>
      </w:r>
      <w:r w:rsidRPr="007C3FF5">
        <w:rPr>
          <w:rFonts w:ascii="Times New Roman" w:hAnsi="Times New Roman"/>
          <w:color w:val="000000"/>
        </w:rPr>
        <w:t>Northern Ireland) are available from tourism statistics, broken down by the required four –way geographical split</w:t>
      </w:r>
      <w:r w:rsidR="005C1162" w:rsidRPr="007C3FF5">
        <w:rPr>
          <w:rFonts w:ascii="Times New Roman" w:hAnsi="Times New Roman"/>
          <w:color w:val="000000"/>
        </w:rPr>
        <w:t xml:space="preserve">, as described in </w:t>
      </w:r>
      <w:r w:rsidR="00951864" w:rsidRPr="007C3FF5">
        <w:rPr>
          <w:rFonts w:ascii="Times New Roman" w:hAnsi="Times New Roman"/>
          <w:color w:val="000000"/>
        </w:rPr>
        <w:t>the section on household final consumption expenditure</w:t>
      </w:r>
      <w:r w:rsidRPr="007C3FF5">
        <w:rPr>
          <w:rFonts w:ascii="Times New Roman" w:hAnsi="Times New Roman"/>
          <w:color w:val="000000"/>
        </w:rPr>
        <w:t>.</w:t>
      </w:r>
    </w:p>
    <w:p w:rsidR="005B2412" w:rsidRPr="007C3FF5" w:rsidRDefault="005B2412" w:rsidP="005B2412">
      <w:pPr>
        <w:pStyle w:val="NoSpacing"/>
        <w:spacing w:line="276" w:lineRule="auto"/>
        <w:ind w:left="426"/>
        <w:jc w:val="both"/>
        <w:rPr>
          <w:rFonts w:ascii="Times New Roman" w:hAnsi="Times New Roman"/>
          <w:color w:val="000000"/>
        </w:rPr>
      </w:pPr>
    </w:p>
    <w:p w:rsidR="00F87687" w:rsidRPr="007C3FF5" w:rsidRDefault="00F87687"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There is no good information for imports of other services.  </w:t>
      </w:r>
      <w:r w:rsidR="00A073D3" w:rsidRPr="007C3FF5">
        <w:rPr>
          <w:rFonts w:ascii="Times New Roman" w:hAnsi="Times New Roman"/>
          <w:color w:val="000000"/>
        </w:rPr>
        <w:t>These were left as zero in the trial balance.</w:t>
      </w:r>
    </w:p>
    <w:p w:rsidR="00F87687" w:rsidRPr="007C3FF5" w:rsidRDefault="00F87687" w:rsidP="005B2412">
      <w:pPr>
        <w:pStyle w:val="NoSpacing"/>
        <w:spacing w:line="276" w:lineRule="auto"/>
        <w:ind w:left="426"/>
        <w:jc w:val="both"/>
        <w:rPr>
          <w:rFonts w:ascii="Times New Roman" w:hAnsi="Times New Roman"/>
          <w:color w:val="000000"/>
        </w:rPr>
      </w:pPr>
    </w:p>
    <w:p w:rsidR="00A140EE" w:rsidRPr="007C3FF5" w:rsidRDefault="001C5A54" w:rsidP="005B2412">
      <w:pPr>
        <w:pStyle w:val="Heading2"/>
        <w:ind w:left="426"/>
        <w:rPr>
          <w:rFonts w:ascii="Times New Roman" w:hAnsi="Times New Roman" w:cs="Times New Roman"/>
          <w:lang w:bidi="ar-SA"/>
        </w:rPr>
      </w:pPr>
      <w:bookmarkStart w:id="40" w:name="_Toc383010506"/>
      <w:r w:rsidRPr="007C3FF5">
        <w:rPr>
          <w:rFonts w:ascii="Times New Roman" w:hAnsi="Times New Roman" w:cs="Times New Roman"/>
          <w:lang w:bidi="ar-SA"/>
        </w:rPr>
        <w:t>Domestic Supply at basic prices to Supply at purchasers’ prices</w:t>
      </w:r>
      <w:bookmarkEnd w:id="40"/>
    </w:p>
    <w:p w:rsidR="00EB409D" w:rsidRPr="007C3FF5" w:rsidRDefault="00EB409D" w:rsidP="005B2412">
      <w:pPr>
        <w:pStyle w:val="NoSpacing"/>
        <w:spacing w:line="276" w:lineRule="auto"/>
        <w:ind w:left="426"/>
        <w:jc w:val="both"/>
        <w:rPr>
          <w:rFonts w:ascii="Times New Roman" w:hAnsi="Times New Roman"/>
          <w:color w:val="000000"/>
        </w:rPr>
      </w:pPr>
    </w:p>
    <w:p w:rsidR="00A140EE" w:rsidRPr="007C3FF5" w:rsidRDefault="00A140EE"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final set of transactions to consider are those </w:t>
      </w:r>
      <w:r w:rsidR="003F0438" w:rsidRPr="007C3FF5">
        <w:rPr>
          <w:rFonts w:ascii="Times New Roman" w:hAnsi="Times New Roman"/>
          <w:color w:val="000000"/>
        </w:rPr>
        <w:t xml:space="preserve">needed to </w:t>
      </w:r>
      <w:r w:rsidRPr="007C3FF5">
        <w:rPr>
          <w:rFonts w:ascii="Times New Roman" w:hAnsi="Times New Roman"/>
          <w:color w:val="000000"/>
        </w:rPr>
        <w:t>convert domestic supply at basic prices to total supply at purchasers</w:t>
      </w:r>
      <w:r w:rsidR="003F0438" w:rsidRPr="007C3FF5">
        <w:rPr>
          <w:rFonts w:ascii="Times New Roman" w:hAnsi="Times New Roman"/>
          <w:color w:val="000000"/>
        </w:rPr>
        <w:t>’</w:t>
      </w:r>
      <w:r w:rsidRPr="007C3FF5">
        <w:rPr>
          <w:rFonts w:ascii="Times New Roman" w:hAnsi="Times New Roman"/>
          <w:color w:val="000000"/>
        </w:rPr>
        <w:t xml:space="preserve"> prices. They are as follows:</w:t>
      </w:r>
    </w:p>
    <w:p w:rsidR="005B2412" w:rsidRPr="007C3FF5" w:rsidRDefault="005B2412" w:rsidP="005B2412">
      <w:pPr>
        <w:pStyle w:val="NoSpacing"/>
        <w:spacing w:line="276" w:lineRule="auto"/>
        <w:ind w:left="426"/>
        <w:jc w:val="both"/>
        <w:rPr>
          <w:rFonts w:ascii="Times New Roman" w:hAnsi="Times New Roman"/>
          <w:color w:val="000000"/>
        </w:rPr>
      </w:pPr>
    </w:p>
    <w:p w:rsidR="00EB409D" w:rsidRPr="007C3FF5" w:rsidRDefault="00A140EE" w:rsidP="00225BB1">
      <w:pPr>
        <w:pStyle w:val="NoSpacing"/>
        <w:numPr>
          <w:ilvl w:val="0"/>
          <w:numId w:val="6"/>
        </w:numPr>
        <w:spacing w:line="276" w:lineRule="auto"/>
        <w:jc w:val="both"/>
        <w:rPr>
          <w:rFonts w:ascii="Times New Roman" w:hAnsi="Times New Roman"/>
        </w:rPr>
      </w:pPr>
      <w:r w:rsidRPr="007C3FF5">
        <w:rPr>
          <w:rFonts w:ascii="Times New Roman" w:hAnsi="Times New Roman"/>
        </w:rPr>
        <w:t>Components of the difference between basic prices and purchasers’ prices (i.e. the price paid b</w:t>
      </w:r>
      <w:r w:rsidR="005501F9" w:rsidRPr="007C3FF5">
        <w:rPr>
          <w:rFonts w:ascii="Times New Roman" w:hAnsi="Times New Roman"/>
        </w:rPr>
        <w:t>y the final consumer); namely, D</w:t>
      </w:r>
      <w:r w:rsidRPr="007C3FF5">
        <w:rPr>
          <w:rFonts w:ascii="Times New Roman" w:hAnsi="Times New Roman"/>
        </w:rPr>
        <w:t>istributors’ tr</w:t>
      </w:r>
      <w:r w:rsidR="005B2412" w:rsidRPr="007C3FF5">
        <w:rPr>
          <w:rFonts w:ascii="Times New Roman" w:hAnsi="Times New Roman"/>
        </w:rPr>
        <w:t>ading margins on products;</w:t>
      </w:r>
    </w:p>
    <w:p w:rsidR="00EB409D" w:rsidRPr="007C3FF5" w:rsidRDefault="00A140EE" w:rsidP="00225BB1">
      <w:pPr>
        <w:pStyle w:val="NoSpacing"/>
        <w:numPr>
          <w:ilvl w:val="0"/>
          <w:numId w:val="6"/>
        </w:numPr>
        <w:spacing w:line="276" w:lineRule="auto"/>
        <w:jc w:val="both"/>
        <w:rPr>
          <w:rFonts w:ascii="Times New Roman" w:hAnsi="Times New Roman"/>
        </w:rPr>
      </w:pPr>
      <w:r w:rsidRPr="007C3FF5">
        <w:rPr>
          <w:rFonts w:ascii="Times New Roman" w:hAnsi="Times New Roman"/>
        </w:rPr>
        <w:t>Taxes on products</w:t>
      </w:r>
      <w:r w:rsidR="005B2412" w:rsidRPr="007C3FF5">
        <w:rPr>
          <w:rFonts w:ascii="Times New Roman" w:hAnsi="Times New Roman"/>
        </w:rPr>
        <w:t>;</w:t>
      </w:r>
      <w:r w:rsidRPr="007C3FF5">
        <w:rPr>
          <w:rFonts w:ascii="Times New Roman" w:hAnsi="Times New Roman"/>
        </w:rPr>
        <w:t xml:space="preserve"> and</w:t>
      </w:r>
    </w:p>
    <w:p w:rsidR="00A140EE" w:rsidRPr="007C3FF5" w:rsidRDefault="005B2412" w:rsidP="00225BB1">
      <w:pPr>
        <w:pStyle w:val="NoSpacing"/>
        <w:numPr>
          <w:ilvl w:val="0"/>
          <w:numId w:val="6"/>
        </w:numPr>
        <w:spacing w:line="276" w:lineRule="auto"/>
        <w:jc w:val="both"/>
        <w:rPr>
          <w:rFonts w:ascii="Times New Roman" w:hAnsi="Times New Roman"/>
        </w:rPr>
      </w:pPr>
      <w:r w:rsidRPr="007C3FF5">
        <w:rPr>
          <w:rFonts w:ascii="Times New Roman" w:hAnsi="Times New Roman"/>
        </w:rPr>
        <w:t xml:space="preserve">Subsidies </w:t>
      </w:r>
      <w:r w:rsidR="00A140EE" w:rsidRPr="007C3FF5">
        <w:rPr>
          <w:rFonts w:ascii="Times New Roman" w:hAnsi="Times New Roman"/>
        </w:rPr>
        <w:t>on products</w:t>
      </w:r>
      <w:r w:rsidRPr="007C3FF5">
        <w:rPr>
          <w:rFonts w:ascii="Times New Roman" w:hAnsi="Times New Roman"/>
        </w:rPr>
        <w:t>.</w:t>
      </w:r>
    </w:p>
    <w:p w:rsidR="001C5A54" w:rsidRPr="007C3FF5" w:rsidRDefault="001C5A54" w:rsidP="005B2412">
      <w:pPr>
        <w:pStyle w:val="Heading3"/>
        <w:rPr>
          <w:rFonts w:ascii="Times New Roman" w:hAnsi="Times New Roman" w:cs="Times New Roman"/>
          <w:lang w:bidi="ar-SA"/>
        </w:rPr>
      </w:pPr>
      <w:bookmarkStart w:id="41" w:name="_Toc383010507"/>
      <w:r w:rsidRPr="007C3FF5">
        <w:rPr>
          <w:rFonts w:ascii="Times New Roman" w:hAnsi="Times New Roman" w:cs="Times New Roman"/>
          <w:lang w:bidi="ar-SA"/>
        </w:rPr>
        <w:t>Distributors’ trading margins</w:t>
      </w:r>
      <w:bookmarkEnd w:id="41"/>
      <w:r w:rsidRPr="007C3FF5">
        <w:rPr>
          <w:rFonts w:ascii="Times New Roman" w:hAnsi="Times New Roman" w:cs="Times New Roman"/>
          <w:lang w:bidi="ar-SA"/>
        </w:rPr>
        <w:t xml:space="preserve"> </w:t>
      </w:r>
    </w:p>
    <w:p w:rsidR="005B2412" w:rsidRPr="007C3FF5" w:rsidRDefault="005B2412" w:rsidP="005B2412">
      <w:pPr>
        <w:pStyle w:val="NoSpacing"/>
        <w:keepNext/>
        <w:spacing w:line="276" w:lineRule="auto"/>
        <w:ind w:left="426"/>
        <w:jc w:val="both"/>
        <w:rPr>
          <w:rFonts w:ascii="Times New Roman" w:hAnsi="Times New Roman"/>
          <w:color w:val="000000"/>
        </w:rPr>
      </w:pPr>
    </w:p>
    <w:p w:rsidR="003F79E5" w:rsidRPr="007C3FF5" w:rsidRDefault="001C5A54" w:rsidP="005B2412">
      <w:pPr>
        <w:pStyle w:val="NoSpacing"/>
        <w:keepNext/>
        <w:spacing w:line="276" w:lineRule="auto"/>
        <w:ind w:left="426"/>
        <w:jc w:val="both"/>
        <w:rPr>
          <w:rFonts w:ascii="Times New Roman" w:hAnsi="Times New Roman"/>
          <w:color w:val="000000"/>
        </w:rPr>
      </w:pPr>
      <w:r w:rsidRPr="007C3FF5">
        <w:rPr>
          <w:rFonts w:ascii="Times New Roman" w:hAnsi="Times New Roman"/>
          <w:color w:val="000000"/>
        </w:rPr>
        <w:t>Distributors’ trading margins form part of the purchasers’ price of a product but are not part of the basic price. In the Supply Table at basic prices, distributors’ trading margins are recorded against the appropriate distribution product (</w:t>
      </w:r>
      <w:r w:rsidR="003F79E5" w:rsidRPr="007C3FF5">
        <w:rPr>
          <w:rFonts w:ascii="Times New Roman" w:hAnsi="Times New Roman"/>
          <w:color w:val="000000"/>
        </w:rPr>
        <w:t xml:space="preserve">CPA 45 to 47: automotive distribution, </w:t>
      </w:r>
      <w:r w:rsidRPr="007C3FF5">
        <w:rPr>
          <w:rFonts w:ascii="Times New Roman" w:hAnsi="Times New Roman"/>
          <w:color w:val="000000"/>
        </w:rPr>
        <w:t xml:space="preserve">wholesale and retail). </w:t>
      </w:r>
    </w:p>
    <w:p w:rsidR="005B2412" w:rsidRPr="007C3FF5" w:rsidRDefault="005B2412" w:rsidP="005B2412">
      <w:pPr>
        <w:pStyle w:val="NoSpacing"/>
        <w:spacing w:line="276" w:lineRule="auto"/>
        <w:ind w:left="426"/>
        <w:jc w:val="both"/>
        <w:rPr>
          <w:rFonts w:ascii="Times New Roman" w:hAnsi="Times New Roman"/>
          <w:color w:val="000000"/>
        </w:rPr>
      </w:pPr>
    </w:p>
    <w:p w:rsidR="001C5A54" w:rsidRPr="007C3FF5" w:rsidRDefault="001C5A54"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In the purchasers’ price Use Table, the distribution margins are recorded as part of the price of the product on which they are earned. Therefore, in the Supply Table when adding in the components to take domestic output of products at basic prices to total supply at purchasers’ prices, the margins component must </w:t>
      </w:r>
      <w:r w:rsidR="00492020" w:rsidRPr="007C3FF5">
        <w:rPr>
          <w:rFonts w:ascii="Times New Roman" w:hAnsi="Times New Roman"/>
          <w:color w:val="000000"/>
        </w:rPr>
        <w:t xml:space="preserve">be </w:t>
      </w:r>
      <w:r w:rsidRPr="007C3FF5">
        <w:rPr>
          <w:rFonts w:ascii="Times New Roman" w:hAnsi="Times New Roman"/>
          <w:color w:val="000000"/>
        </w:rPr>
        <w:t>remove</w:t>
      </w:r>
      <w:r w:rsidR="00492020" w:rsidRPr="007C3FF5">
        <w:rPr>
          <w:rFonts w:ascii="Times New Roman" w:hAnsi="Times New Roman"/>
          <w:color w:val="000000"/>
        </w:rPr>
        <w:t>d</w:t>
      </w:r>
      <w:r w:rsidRPr="007C3FF5">
        <w:rPr>
          <w:rFonts w:ascii="Times New Roman" w:hAnsi="Times New Roman"/>
          <w:color w:val="000000"/>
        </w:rPr>
        <w:t xml:space="preserve"> from distribution commodities and </w:t>
      </w:r>
      <w:r w:rsidR="00492020" w:rsidRPr="007C3FF5">
        <w:rPr>
          <w:rFonts w:ascii="Times New Roman" w:hAnsi="Times New Roman"/>
          <w:color w:val="000000"/>
        </w:rPr>
        <w:t>re-</w:t>
      </w:r>
      <w:r w:rsidRPr="007C3FF5">
        <w:rPr>
          <w:rFonts w:ascii="Times New Roman" w:hAnsi="Times New Roman"/>
          <w:color w:val="000000"/>
        </w:rPr>
        <w:t>allocate</w:t>
      </w:r>
      <w:r w:rsidR="00492020" w:rsidRPr="007C3FF5">
        <w:rPr>
          <w:rFonts w:ascii="Times New Roman" w:hAnsi="Times New Roman"/>
          <w:color w:val="000000"/>
        </w:rPr>
        <w:t>d</w:t>
      </w:r>
      <w:r w:rsidRPr="007C3FF5">
        <w:rPr>
          <w:rFonts w:ascii="Times New Roman" w:hAnsi="Times New Roman"/>
          <w:color w:val="000000"/>
        </w:rPr>
        <w:t xml:space="preserve"> to </w:t>
      </w:r>
      <w:r w:rsidR="00492020" w:rsidRPr="007C3FF5">
        <w:rPr>
          <w:rFonts w:ascii="Times New Roman" w:hAnsi="Times New Roman"/>
          <w:color w:val="000000"/>
        </w:rPr>
        <w:t xml:space="preserve">other </w:t>
      </w:r>
      <w:r w:rsidRPr="007C3FF5">
        <w:rPr>
          <w:rFonts w:ascii="Times New Roman" w:hAnsi="Times New Roman"/>
          <w:color w:val="000000"/>
        </w:rPr>
        <w:t xml:space="preserve">products (note that only physical goods can attract distributors’ trading margins). This reallocation should also include margins on </w:t>
      </w:r>
      <w:r w:rsidR="00951864" w:rsidRPr="007C3FF5">
        <w:rPr>
          <w:rFonts w:ascii="Times New Roman" w:hAnsi="Times New Roman"/>
          <w:color w:val="000000"/>
        </w:rPr>
        <w:t>ex</w:t>
      </w:r>
      <w:r w:rsidRPr="007C3FF5">
        <w:rPr>
          <w:rFonts w:ascii="Times New Roman" w:hAnsi="Times New Roman"/>
          <w:color w:val="000000"/>
        </w:rPr>
        <w:t xml:space="preserve">ported goods. Since this is a reallocation, the positive entries in the margins column against products will be balanced by negative entries against the distribution products, and the sum of all entries in the margins column will be zero. </w:t>
      </w:r>
    </w:p>
    <w:p w:rsidR="005B2412" w:rsidRPr="007C3FF5" w:rsidRDefault="005B2412" w:rsidP="005B2412">
      <w:pPr>
        <w:pStyle w:val="NoSpacing"/>
        <w:spacing w:line="276" w:lineRule="auto"/>
        <w:ind w:left="426"/>
        <w:jc w:val="both"/>
        <w:rPr>
          <w:rFonts w:ascii="Times New Roman" w:hAnsi="Times New Roman"/>
          <w:color w:val="000000"/>
        </w:rPr>
      </w:pPr>
    </w:p>
    <w:p w:rsidR="003776CF" w:rsidRPr="007C3FF5" w:rsidRDefault="00C62845"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Distributors’ trading m</w:t>
      </w:r>
      <w:r w:rsidR="003776CF" w:rsidRPr="007C3FF5">
        <w:rPr>
          <w:rFonts w:ascii="Times New Roman" w:hAnsi="Times New Roman"/>
          <w:color w:val="000000"/>
        </w:rPr>
        <w:t xml:space="preserve">argins </w:t>
      </w:r>
      <w:r w:rsidRPr="007C3FF5">
        <w:rPr>
          <w:rFonts w:ascii="Times New Roman" w:hAnsi="Times New Roman"/>
          <w:color w:val="000000"/>
        </w:rPr>
        <w:t>we</w:t>
      </w:r>
      <w:r w:rsidR="003776CF" w:rsidRPr="007C3FF5">
        <w:rPr>
          <w:rFonts w:ascii="Times New Roman" w:hAnsi="Times New Roman"/>
          <w:color w:val="000000"/>
        </w:rPr>
        <w:t xml:space="preserve">re </w:t>
      </w:r>
      <w:r w:rsidRPr="007C3FF5">
        <w:rPr>
          <w:rFonts w:ascii="Times New Roman" w:hAnsi="Times New Roman"/>
          <w:color w:val="000000"/>
        </w:rPr>
        <w:t xml:space="preserve">calculated </w:t>
      </w:r>
      <w:r w:rsidR="003776CF" w:rsidRPr="007C3FF5">
        <w:rPr>
          <w:rFonts w:ascii="Times New Roman" w:hAnsi="Times New Roman"/>
          <w:color w:val="000000"/>
        </w:rPr>
        <w:t>for the following components of demand</w:t>
      </w:r>
      <w:r w:rsidRPr="007C3FF5">
        <w:rPr>
          <w:rFonts w:ascii="Times New Roman" w:hAnsi="Times New Roman"/>
          <w:color w:val="000000"/>
        </w:rPr>
        <w:t>, using average margin rates for the same components for the UK</w:t>
      </w:r>
      <w:r w:rsidR="003776CF" w:rsidRPr="007C3FF5">
        <w:rPr>
          <w:rFonts w:ascii="Times New Roman" w:hAnsi="Times New Roman"/>
          <w:color w:val="000000"/>
        </w:rPr>
        <w:t>:</w:t>
      </w:r>
    </w:p>
    <w:p w:rsidR="005B2412" w:rsidRPr="007C3FF5" w:rsidRDefault="005B2412" w:rsidP="005B2412">
      <w:pPr>
        <w:pStyle w:val="NoSpacing"/>
        <w:spacing w:line="276" w:lineRule="auto"/>
        <w:ind w:left="426"/>
        <w:jc w:val="both"/>
        <w:rPr>
          <w:rFonts w:ascii="Times New Roman" w:hAnsi="Times New Roman"/>
          <w:color w:val="000000"/>
        </w:rPr>
      </w:pPr>
    </w:p>
    <w:p w:rsidR="00C62845" w:rsidRPr="007C3FF5" w:rsidRDefault="003776CF" w:rsidP="00225BB1">
      <w:pPr>
        <w:pStyle w:val="NoSpacing"/>
        <w:numPr>
          <w:ilvl w:val="0"/>
          <w:numId w:val="6"/>
        </w:numPr>
        <w:spacing w:line="276" w:lineRule="auto"/>
        <w:jc w:val="both"/>
        <w:rPr>
          <w:rFonts w:ascii="Times New Roman" w:hAnsi="Times New Roman"/>
        </w:rPr>
      </w:pPr>
      <w:r w:rsidRPr="007C3FF5">
        <w:rPr>
          <w:rFonts w:ascii="Times New Roman" w:hAnsi="Times New Roman"/>
        </w:rPr>
        <w:t>Intermediate demand</w:t>
      </w:r>
    </w:p>
    <w:p w:rsidR="00C62845" w:rsidRPr="007C3FF5" w:rsidRDefault="00C62845" w:rsidP="00225BB1">
      <w:pPr>
        <w:pStyle w:val="NoSpacing"/>
        <w:numPr>
          <w:ilvl w:val="0"/>
          <w:numId w:val="6"/>
        </w:numPr>
        <w:spacing w:line="276" w:lineRule="auto"/>
        <w:jc w:val="both"/>
        <w:rPr>
          <w:rFonts w:ascii="Times New Roman" w:hAnsi="Times New Roman"/>
        </w:rPr>
      </w:pPr>
      <w:r w:rsidRPr="007C3FF5">
        <w:rPr>
          <w:rFonts w:ascii="Times New Roman" w:hAnsi="Times New Roman"/>
        </w:rPr>
        <w:t>Household final consumption expenditure</w:t>
      </w:r>
    </w:p>
    <w:p w:rsidR="00C62845" w:rsidRPr="007C3FF5" w:rsidRDefault="00C62845" w:rsidP="00225BB1">
      <w:pPr>
        <w:pStyle w:val="NoSpacing"/>
        <w:numPr>
          <w:ilvl w:val="0"/>
          <w:numId w:val="6"/>
        </w:numPr>
        <w:spacing w:line="276" w:lineRule="auto"/>
        <w:jc w:val="both"/>
        <w:rPr>
          <w:rFonts w:ascii="Times New Roman" w:hAnsi="Times New Roman"/>
        </w:rPr>
      </w:pPr>
      <w:r w:rsidRPr="007C3FF5">
        <w:rPr>
          <w:rFonts w:ascii="Times New Roman" w:hAnsi="Times New Roman"/>
        </w:rPr>
        <w:t>Gross fixed capital formation</w:t>
      </w:r>
    </w:p>
    <w:p w:rsidR="00C62845" w:rsidRPr="007C3FF5" w:rsidRDefault="00EB409D" w:rsidP="00225BB1">
      <w:pPr>
        <w:pStyle w:val="NoSpacing"/>
        <w:numPr>
          <w:ilvl w:val="0"/>
          <w:numId w:val="6"/>
        </w:numPr>
        <w:spacing w:line="276" w:lineRule="auto"/>
        <w:jc w:val="both"/>
        <w:rPr>
          <w:rFonts w:ascii="Times New Roman" w:hAnsi="Times New Roman"/>
        </w:rPr>
      </w:pPr>
      <w:r w:rsidRPr="007C3FF5">
        <w:rPr>
          <w:rFonts w:ascii="Times New Roman" w:hAnsi="Times New Roman"/>
        </w:rPr>
        <w:t>Ex</w:t>
      </w:r>
      <w:r w:rsidR="00C62845" w:rsidRPr="007C3FF5">
        <w:rPr>
          <w:rFonts w:ascii="Times New Roman" w:hAnsi="Times New Roman"/>
        </w:rPr>
        <w:t>ports</w:t>
      </w:r>
    </w:p>
    <w:p w:rsidR="001C5A54" w:rsidRPr="007C3FF5" w:rsidRDefault="001C5A54" w:rsidP="005B2412">
      <w:pPr>
        <w:pStyle w:val="NoSpacing"/>
        <w:spacing w:line="276" w:lineRule="auto"/>
        <w:ind w:left="426"/>
        <w:jc w:val="both"/>
        <w:rPr>
          <w:rFonts w:ascii="Times New Roman" w:hAnsi="Times New Roman"/>
          <w:color w:val="000000"/>
        </w:rPr>
      </w:pPr>
    </w:p>
    <w:p w:rsidR="003F79E5" w:rsidRPr="007C3FF5" w:rsidRDefault="00C62845"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Average </w:t>
      </w:r>
      <w:r w:rsidR="0072341F" w:rsidRPr="007C3FF5">
        <w:rPr>
          <w:rFonts w:ascii="Times New Roman" w:hAnsi="Times New Roman"/>
          <w:color w:val="000000"/>
        </w:rPr>
        <w:t xml:space="preserve">UK distribution margin rates were calculated for each product by summing </w:t>
      </w:r>
      <w:r w:rsidRPr="007C3FF5">
        <w:rPr>
          <w:rFonts w:ascii="Times New Roman" w:hAnsi="Times New Roman"/>
          <w:color w:val="000000"/>
        </w:rPr>
        <w:t xml:space="preserve">the total margin </w:t>
      </w:r>
      <w:r w:rsidR="0072341F" w:rsidRPr="007C3FF5">
        <w:rPr>
          <w:rFonts w:ascii="Times New Roman" w:hAnsi="Times New Roman"/>
          <w:color w:val="000000"/>
        </w:rPr>
        <w:t>across</w:t>
      </w:r>
      <w:r w:rsidRPr="007C3FF5">
        <w:rPr>
          <w:rFonts w:ascii="Times New Roman" w:hAnsi="Times New Roman"/>
          <w:color w:val="000000"/>
        </w:rPr>
        <w:t xml:space="preserve"> all industries </w:t>
      </w:r>
      <w:r w:rsidR="0072341F" w:rsidRPr="007C3FF5">
        <w:rPr>
          <w:rFonts w:ascii="Times New Roman" w:hAnsi="Times New Roman"/>
          <w:color w:val="000000"/>
        </w:rPr>
        <w:t xml:space="preserve">and dividing by the total demand for the same product.  This calculation was performed </w:t>
      </w:r>
      <w:r w:rsidR="003F79E5" w:rsidRPr="007C3FF5">
        <w:rPr>
          <w:rFonts w:ascii="Times New Roman" w:hAnsi="Times New Roman"/>
          <w:color w:val="000000"/>
        </w:rPr>
        <w:t xml:space="preserve">for </w:t>
      </w:r>
      <w:r w:rsidRPr="007C3FF5">
        <w:rPr>
          <w:rFonts w:ascii="Times New Roman" w:hAnsi="Times New Roman"/>
          <w:color w:val="000000"/>
        </w:rPr>
        <w:t>each of the four components</w:t>
      </w:r>
      <w:r w:rsidR="0072341F" w:rsidRPr="007C3FF5">
        <w:rPr>
          <w:rFonts w:ascii="Times New Roman" w:hAnsi="Times New Roman"/>
          <w:color w:val="000000"/>
        </w:rPr>
        <w:t xml:space="preserve"> of demand listed above.  The resulting </w:t>
      </w:r>
      <w:r w:rsidR="001C5A54" w:rsidRPr="007C3FF5">
        <w:rPr>
          <w:rFonts w:ascii="Times New Roman" w:hAnsi="Times New Roman"/>
          <w:color w:val="000000"/>
        </w:rPr>
        <w:t xml:space="preserve">product margin factors </w:t>
      </w:r>
      <w:r w:rsidR="0072341F" w:rsidRPr="007C3FF5">
        <w:rPr>
          <w:rFonts w:ascii="Times New Roman" w:hAnsi="Times New Roman"/>
          <w:color w:val="000000"/>
        </w:rPr>
        <w:t>were then</w:t>
      </w:r>
      <w:r w:rsidR="001C5A54" w:rsidRPr="007C3FF5">
        <w:rPr>
          <w:rFonts w:ascii="Times New Roman" w:hAnsi="Times New Roman"/>
          <w:color w:val="000000"/>
        </w:rPr>
        <w:t xml:space="preserve"> applied to the Northern </w:t>
      </w:r>
      <w:r w:rsidR="00EB409D" w:rsidRPr="007C3FF5">
        <w:rPr>
          <w:rFonts w:ascii="Times New Roman" w:hAnsi="Times New Roman"/>
          <w:color w:val="000000"/>
        </w:rPr>
        <w:t>Ireland</w:t>
      </w:r>
      <w:r w:rsidR="001C5A54" w:rsidRPr="007C3FF5">
        <w:rPr>
          <w:rFonts w:ascii="Times New Roman" w:hAnsi="Times New Roman"/>
          <w:color w:val="000000"/>
        </w:rPr>
        <w:t xml:space="preserve"> </w:t>
      </w:r>
      <w:r w:rsidR="00EB409D" w:rsidRPr="007C3FF5">
        <w:rPr>
          <w:rFonts w:ascii="Times New Roman" w:hAnsi="Times New Roman"/>
          <w:color w:val="000000"/>
        </w:rPr>
        <w:t>Use</w:t>
      </w:r>
      <w:r w:rsidR="001C5A54" w:rsidRPr="007C3FF5">
        <w:rPr>
          <w:rFonts w:ascii="Times New Roman" w:hAnsi="Times New Roman"/>
          <w:color w:val="000000"/>
        </w:rPr>
        <w:t xml:space="preserve"> Table</w:t>
      </w:r>
      <w:r w:rsidR="00EB409D" w:rsidRPr="007C3FF5">
        <w:rPr>
          <w:rFonts w:ascii="Times New Roman" w:hAnsi="Times New Roman"/>
          <w:color w:val="000000"/>
        </w:rPr>
        <w:t>s</w:t>
      </w:r>
      <w:r w:rsidR="001C5A54" w:rsidRPr="007C3FF5">
        <w:rPr>
          <w:rFonts w:ascii="Times New Roman" w:hAnsi="Times New Roman"/>
          <w:color w:val="000000"/>
        </w:rPr>
        <w:t xml:space="preserve"> </w:t>
      </w:r>
      <w:r w:rsidR="0072341F" w:rsidRPr="007C3FF5">
        <w:rPr>
          <w:rFonts w:ascii="Times New Roman" w:hAnsi="Times New Roman"/>
          <w:color w:val="000000"/>
        </w:rPr>
        <w:t xml:space="preserve">and summed to give product totals.  These were then </w:t>
      </w:r>
      <w:r w:rsidR="001C5A54" w:rsidRPr="007C3FF5">
        <w:rPr>
          <w:rFonts w:ascii="Times New Roman" w:hAnsi="Times New Roman"/>
          <w:color w:val="000000"/>
        </w:rPr>
        <w:t xml:space="preserve">scaled </w:t>
      </w:r>
      <w:r w:rsidR="0072341F" w:rsidRPr="007C3FF5">
        <w:rPr>
          <w:rFonts w:ascii="Times New Roman" w:hAnsi="Times New Roman"/>
          <w:color w:val="000000"/>
        </w:rPr>
        <w:t>to</w:t>
      </w:r>
      <w:r w:rsidR="001C5A54" w:rsidRPr="007C3FF5">
        <w:rPr>
          <w:rFonts w:ascii="Times New Roman" w:hAnsi="Times New Roman"/>
          <w:color w:val="000000"/>
        </w:rPr>
        <w:t xml:space="preserve"> match the total output of </w:t>
      </w:r>
      <w:r w:rsidRPr="007C3FF5">
        <w:rPr>
          <w:rFonts w:ascii="Times New Roman" w:hAnsi="Times New Roman"/>
          <w:color w:val="000000"/>
        </w:rPr>
        <w:t>the distribution industries</w:t>
      </w:r>
      <w:r w:rsidR="001C5A54" w:rsidRPr="007C3FF5">
        <w:rPr>
          <w:rFonts w:ascii="Times New Roman" w:hAnsi="Times New Roman"/>
          <w:color w:val="000000"/>
        </w:rPr>
        <w:t xml:space="preserve"> for Northern Ireland. </w:t>
      </w:r>
      <w:r w:rsidR="003F79E5" w:rsidRPr="007C3FF5">
        <w:rPr>
          <w:rFonts w:ascii="Times New Roman" w:hAnsi="Times New Roman"/>
          <w:color w:val="000000"/>
        </w:rPr>
        <w:t xml:space="preserve"> </w:t>
      </w:r>
    </w:p>
    <w:p w:rsidR="005B2412" w:rsidRPr="007C3FF5" w:rsidRDefault="005B2412" w:rsidP="005B2412">
      <w:pPr>
        <w:pStyle w:val="NoSpacing"/>
        <w:spacing w:line="276" w:lineRule="auto"/>
        <w:ind w:left="426"/>
        <w:jc w:val="both"/>
        <w:rPr>
          <w:rFonts w:ascii="Times New Roman" w:hAnsi="Times New Roman"/>
          <w:color w:val="000000"/>
        </w:rPr>
      </w:pPr>
    </w:p>
    <w:p w:rsidR="001C5A54" w:rsidRPr="007C3FF5" w:rsidRDefault="00D10CFD"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T</w:t>
      </w:r>
      <w:r w:rsidR="003F79E5" w:rsidRPr="007C3FF5">
        <w:rPr>
          <w:rFonts w:ascii="Times New Roman" w:hAnsi="Times New Roman"/>
          <w:color w:val="000000"/>
        </w:rPr>
        <w:t>he distrib</w:t>
      </w:r>
      <w:r w:rsidR="00492020" w:rsidRPr="007C3FF5">
        <w:rPr>
          <w:rFonts w:ascii="Times New Roman" w:hAnsi="Times New Roman"/>
          <w:color w:val="000000"/>
        </w:rPr>
        <w:t>ution industries</w:t>
      </w:r>
      <w:r w:rsidRPr="007C3FF5">
        <w:rPr>
          <w:rFonts w:ascii="Times New Roman" w:hAnsi="Times New Roman"/>
          <w:color w:val="000000"/>
        </w:rPr>
        <w:t>’</w:t>
      </w:r>
      <w:r w:rsidR="00492020" w:rsidRPr="007C3FF5">
        <w:rPr>
          <w:rFonts w:ascii="Times New Roman" w:hAnsi="Times New Roman"/>
          <w:color w:val="000000"/>
        </w:rPr>
        <w:t xml:space="preserve"> output wa</w:t>
      </w:r>
      <w:r w:rsidR="003F79E5" w:rsidRPr="007C3FF5">
        <w:rPr>
          <w:rFonts w:ascii="Times New Roman" w:hAnsi="Times New Roman"/>
          <w:color w:val="000000"/>
        </w:rPr>
        <w:t>s entered with</w:t>
      </w:r>
      <w:r w:rsidR="00492020" w:rsidRPr="007C3FF5">
        <w:rPr>
          <w:rFonts w:ascii="Times New Roman" w:hAnsi="Times New Roman"/>
          <w:color w:val="000000"/>
        </w:rPr>
        <w:t xml:space="preserve"> a</w:t>
      </w:r>
      <w:r w:rsidR="003F79E5" w:rsidRPr="007C3FF5">
        <w:rPr>
          <w:rFonts w:ascii="Times New Roman" w:hAnsi="Times New Roman"/>
          <w:color w:val="000000"/>
        </w:rPr>
        <w:t xml:space="preserve"> negative sign against the corresponding margin product to ensure that the distributors trading margins column totals sum</w:t>
      </w:r>
      <w:r w:rsidR="00492020" w:rsidRPr="007C3FF5">
        <w:rPr>
          <w:rFonts w:ascii="Times New Roman" w:hAnsi="Times New Roman"/>
          <w:color w:val="000000"/>
        </w:rPr>
        <w:t>med</w:t>
      </w:r>
      <w:r w:rsidR="003F79E5" w:rsidRPr="007C3FF5">
        <w:rPr>
          <w:rFonts w:ascii="Times New Roman" w:hAnsi="Times New Roman"/>
          <w:color w:val="000000"/>
        </w:rPr>
        <w:t xml:space="preserve"> to zero in </w:t>
      </w:r>
      <w:r w:rsidR="00E015F0" w:rsidRPr="007C3FF5">
        <w:rPr>
          <w:rFonts w:ascii="Times New Roman" w:hAnsi="Times New Roman"/>
          <w:color w:val="000000"/>
        </w:rPr>
        <w:t xml:space="preserve">the </w:t>
      </w:r>
      <w:r w:rsidR="003F79E5" w:rsidRPr="007C3FF5">
        <w:rPr>
          <w:rFonts w:ascii="Times New Roman" w:hAnsi="Times New Roman"/>
          <w:color w:val="000000"/>
        </w:rPr>
        <w:t>Supply Table</w:t>
      </w:r>
      <w:r w:rsidR="001C5A54" w:rsidRPr="007C3FF5">
        <w:rPr>
          <w:rFonts w:ascii="Times New Roman" w:hAnsi="Times New Roman"/>
          <w:color w:val="000000"/>
        </w:rPr>
        <w:t xml:space="preserve">. </w:t>
      </w:r>
    </w:p>
    <w:p w:rsidR="005B2412" w:rsidRPr="007C3FF5" w:rsidRDefault="005B2412" w:rsidP="005B2412">
      <w:pPr>
        <w:pStyle w:val="NoSpacing"/>
        <w:spacing w:line="276" w:lineRule="auto"/>
        <w:ind w:left="426"/>
        <w:jc w:val="both"/>
        <w:rPr>
          <w:rFonts w:ascii="Times New Roman" w:hAnsi="Times New Roman"/>
          <w:color w:val="000000"/>
        </w:rPr>
      </w:pPr>
    </w:p>
    <w:p w:rsidR="001C5A54" w:rsidRPr="007C3FF5" w:rsidRDefault="001C5A54" w:rsidP="005B2412">
      <w:pPr>
        <w:pStyle w:val="Heading3"/>
        <w:rPr>
          <w:rFonts w:ascii="Times New Roman" w:hAnsi="Times New Roman" w:cs="Times New Roman"/>
          <w:lang w:bidi="ar-SA"/>
        </w:rPr>
      </w:pPr>
      <w:bookmarkStart w:id="42" w:name="_Toc383010508"/>
      <w:r w:rsidRPr="007C3FF5">
        <w:rPr>
          <w:rFonts w:ascii="Times New Roman" w:hAnsi="Times New Roman" w:cs="Times New Roman"/>
          <w:lang w:bidi="ar-SA"/>
        </w:rPr>
        <w:t>Taxes on products</w:t>
      </w:r>
      <w:bookmarkEnd w:id="42"/>
      <w:r w:rsidRPr="007C3FF5">
        <w:rPr>
          <w:rFonts w:ascii="Times New Roman" w:hAnsi="Times New Roman" w:cs="Times New Roman"/>
          <w:lang w:bidi="ar-SA"/>
        </w:rPr>
        <w:t xml:space="preserve"> </w:t>
      </w:r>
    </w:p>
    <w:p w:rsidR="005B2412" w:rsidRPr="007C3FF5" w:rsidRDefault="005B2412" w:rsidP="005B2412">
      <w:pPr>
        <w:pStyle w:val="NoSpacing"/>
        <w:spacing w:line="276" w:lineRule="auto"/>
        <w:ind w:left="426"/>
        <w:jc w:val="both"/>
        <w:rPr>
          <w:rFonts w:ascii="Times New Roman" w:hAnsi="Times New Roman"/>
          <w:color w:val="000000"/>
        </w:rPr>
      </w:pPr>
    </w:p>
    <w:p w:rsidR="00E015F0" w:rsidRPr="007C3FF5" w:rsidRDefault="00EB409D"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Taxes on products are taxes which are levied per unit of quantity or an ad valorem basis. The</w:t>
      </w:r>
      <w:r w:rsidR="00461BDB" w:rsidRPr="007C3FF5">
        <w:rPr>
          <w:rFonts w:ascii="Times New Roman" w:hAnsi="Times New Roman"/>
          <w:color w:val="000000"/>
        </w:rPr>
        <w:t xml:space="preserve">re are two main types of taxes: </w:t>
      </w:r>
      <w:r w:rsidRPr="007C3FF5">
        <w:rPr>
          <w:rFonts w:ascii="Times New Roman" w:hAnsi="Times New Roman"/>
          <w:color w:val="000000"/>
        </w:rPr>
        <w:t xml:space="preserve">Value Added Taxes (VAT) </w:t>
      </w:r>
      <w:r w:rsidR="00461BDB" w:rsidRPr="007C3FF5">
        <w:rPr>
          <w:rFonts w:ascii="Times New Roman" w:hAnsi="Times New Roman"/>
          <w:color w:val="000000"/>
        </w:rPr>
        <w:t xml:space="preserve">and </w:t>
      </w:r>
      <w:proofErr w:type="gramStart"/>
      <w:r w:rsidR="00461BDB" w:rsidRPr="007C3FF5">
        <w:rPr>
          <w:rFonts w:ascii="Times New Roman" w:hAnsi="Times New Roman"/>
          <w:color w:val="000000"/>
        </w:rPr>
        <w:t>Other</w:t>
      </w:r>
      <w:proofErr w:type="gramEnd"/>
      <w:r w:rsidR="00461BDB" w:rsidRPr="007C3FF5">
        <w:rPr>
          <w:rFonts w:ascii="Times New Roman" w:hAnsi="Times New Roman"/>
          <w:color w:val="000000"/>
        </w:rPr>
        <w:t xml:space="preserve"> taxes on products.   </w:t>
      </w:r>
    </w:p>
    <w:p w:rsidR="005B2412" w:rsidRPr="007C3FF5" w:rsidRDefault="005B2412" w:rsidP="005B2412">
      <w:pPr>
        <w:pStyle w:val="NoSpacing"/>
        <w:spacing w:line="276" w:lineRule="auto"/>
        <w:ind w:left="426"/>
        <w:jc w:val="both"/>
        <w:rPr>
          <w:rFonts w:ascii="Times New Roman" w:hAnsi="Times New Roman"/>
          <w:color w:val="000000"/>
        </w:rPr>
      </w:pPr>
    </w:p>
    <w:p w:rsidR="00C7018A" w:rsidRPr="007C3FF5" w:rsidRDefault="006562E7" w:rsidP="005B241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There is a choice of data sources for taxes on products.  The Northern Ireland Department of Finance and Personnel (DFP) </w:t>
      </w:r>
      <w:proofErr w:type="gramStart"/>
      <w:r w:rsidRPr="007C3FF5">
        <w:rPr>
          <w:rFonts w:ascii="Times New Roman" w:hAnsi="Times New Roman"/>
          <w:color w:val="000000"/>
        </w:rPr>
        <w:t>produces</w:t>
      </w:r>
      <w:proofErr w:type="gramEnd"/>
      <w:r w:rsidRPr="007C3FF5">
        <w:rPr>
          <w:rFonts w:ascii="Times New Roman" w:hAnsi="Times New Roman"/>
          <w:color w:val="000000"/>
        </w:rPr>
        <w:t xml:space="preserve"> an annual Net Fiscal Balance Report which contains estimates of tax revenues by type of tax.  HMRC ha</w:t>
      </w:r>
      <w:r w:rsidR="00C7018A" w:rsidRPr="007C3FF5">
        <w:rPr>
          <w:rFonts w:ascii="Times New Roman" w:hAnsi="Times New Roman"/>
          <w:color w:val="000000"/>
        </w:rPr>
        <w:t xml:space="preserve">ve recently started publishing similar </w:t>
      </w:r>
      <w:r w:rsidR="00041D85" w:rsidRPr="007C3FF5">
        <w:rPr>
          <w:rFonts w:ascii="Times New Roman" w:hAnsi="Times New Roman"/>
          <w:color w:val="000000"/>
        </w:rPr>
        <w:t>experimental statistics</w:t>
      </w:r>
      <w:r w:rsidR="00C7018A" w:rsidRPr="007C3FF5">
        <w:rPr>
          <w:rFonts w:ascii="Times New Roman" w:hAnsi="Times New Roman"/>
          <w:color w:val="000000"/>
        </w:rPr>
        <w:t xml:space="preserve"> broken down by region and country of the UK.  The figures in the DFP Net Fiscal Balance report for 2010/11 are very similar to those produced by HMRC except for:</w:t>
      </w:r>
    </w:p>
    <w:p w:rsidR="005B2412" w:rsidRPr="007C3FF5" w:rsidRDefault="005B2412" w:rsidP="005B2412">
      <w:pPr>
        <w:pStyle w:val="NoSpacing"/>
        <w:spacing w:line="276" w:lineRule="auto"/>
        <w:ind w:left="426"/>
        <w:jc w:val="both"/>
        <w:rPr>
          <w:rFonts w:ascii="Times New Roman" w:hAnsi="Times New Roman"/>
          <w:color w:val="000000"/>
        </w:rPr>
      </w:pPr>
    </w:p>
    <w:p w:rsidR="00C7018A" w:rsidRPr="007C3FF5" w:rsidRDefault="00231D77"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b/>
          <w:color w:val="000000"/>
          <w:lang w:eastAsia="en-GB" w:bidi="ar-SA"/>
        </w:rPr>
        <w:t>VAT</w:t>
      </w:r>
      <w:r w:rsidRPr="007C3FF5">
        <w:rPr>
          <w:rFonts w:ascii="Times New Roman" w:hAnsi="Times New Roman"/>
          <w:color w:val="000000"/>
          <w:lang w:eastAsia="en-GB" w:bidi="ar-SA"/>
        </w:rPr>
        <w:t xml:space="preserve"> </w:t>
      </w:r>
      <w:r w:rsidR="00C7018A" w:rsidRPr="007C3FF5">
        <w:rPr>
          <w:rFonts w:ascii="Times New Roman" w:hAnsi="Times New Roman"/>
          <w:color w:val="000000"/>
          <w:lang w:eastAsia="en-GB" w:bidi="ar-SA"/>
        </w:rPr>
        <w:t xml:space="preserve">- £2.9 </w:t>
      </w:r>
      <w:proofErr w:type="spellStart"/>
      <w:r w:rsidR="00C7018A" w:rsidRPr="007C3FF5">
        <w:rPr>
          <w:rFonts w:ascii="Times New Roman" w:hAnsi="Times New Roman"/>
          <w:color w:val="000000"/>
          <w:lang w:eastAsia="en-GB" w:bidi="ar-SA"/>
        </w:rPr>
        <w:t>bn</w:t>
      </w:r>
      <w:proofErr w:type="spellEnd"/>
      <w:r w:rsidR="00C7018A" w:rsidRPr="007C3FF5">
        <w:rPr>
          <w:rFonts w:ascii="Times New Roman" w:hAnsi="Times New Roman"/>
          <w:color w:val="000000"/>
          <w:lang w:eastAsia="en-GB" w:bidi="ar-SA"/>
        </w:rPr>
        <w:t xml:space="preserve"> compared with £2.</w:t>
      </w:r>
      <w:r w:rsidR="00041D85" w:rsidRPr="007C3FF5">
        <w:rPr>
          <w:rFonts w:ascii="Times New Roman" w:hAnsi="Times New Roman"/>
          <w:color w:val="000000"/>
          <w:lang w:eastAsia="en-GB" w:bidi="ar-SA"/>
        </w:rPr>
        <w:t>3</w:t>
      </w:r>
      <w:r w:rsidR="00C7018A" w:rsidRPr="007C3FF5">
        <w:rPr>
          <w:rFonts w:ascii="Times New Roman" w:hAnsi="Times New Roman"/>
          <w:color w:val="000000"/>
          <w:lang w:eastAsia="en-GB" w:bidi="ar-SA"/>
        </w:rPr>
        <w:t xml:space="preserve">bn.  </w:t>
      </w:r>
    </w:p>
    <w:p w:rsidR="0039395F" w:rsidRPr="007C3FF5" w:rsidRDefault="00231D77"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b/>
          <w:color w:val="000000"/>
          <w:lang w:eastAsia="en-GB" w:bidi="ar-SA"/>
        </w:rPr>
        <w:t xml:space="preserve">Stamp </w:t>
      </w:r>
      <w:r w:rsidR="00C7018A" w:rsidRPr="007C3FF5">
        <w:rPr>
          <w:rFonts w:ascii="Times New Roman" w:hAnsi="Times New Roman"/>
          <w:b/>
          <w:color w:val="000000"/>
          <w:lang w:eastAsia="en-GB" w:bidi="ar-SA"/>
        </w:rPr>
        <w:t>duty</w:t>
      </w:r>
      <w:r w:rsidR="00C7018A" w:rsidRPr="007C3FF5">
        <w:rPr>
          <w:rFonts w:ascii="Times New Roman" w:hAnsi="Times New Roman"/>
          <w:color w:val="000000"/>
          <w:lang w:eastAsia="en-GB" w:bidi="ar-SA"/>
        </w:rPr>
        <w:t xml:space="preserve"> </w:t>
      </w:r>
      <w:r w:rsidRPr="007C3FF5">
        <w:rPr>
          <w:rFonts w:ascii="Times New Roman" w:hAnsi="Times New Roman"/>
          <w:color w:val="000000"/>
          <w:lang w:eastAsia="en-GB" w:bidi="ar-SA"/>
        </w:rPr>
        <w:t>-</w:t>
      </w:r>
      <w:r w:rsidR="00C7018A" w:rsidRPr="007C3FF5">
        <w:rPr>
          <w:rFonts w:ascii="Times New Roman" w:hAnsi="Times New Roman"/>
          <w:color w:val="000000"/>
          <w:lang w:eastAsia="en-GB" w:bidi="ar-SA"/>
        </w:rPr>
        <w:t xml:space="preserve"> DFP base their estimate on the NI/UK ratio of adults owning stocks, shares, unit trusts, PEPs and ISAs as measured in the Family Resources Survey.   HMRC</w:t>
      </w:r>
      <w:r w:rsidR="0039395F" w:rsidRPr="007C3FF5">
        <w:rPr>
          <w:rFonts w:ascii="Times New Roman" w:hAnsi="Times New Roman"/>
          <w:color w:val="000000"/>
          <w:lang w:eastAsia="en-GB" w:bidi="ar-SA"/>
        </w:rPr>
        <w:t>’s</w:t>
      </w:r>
      <w:r w:rsidR="00C7018A" w:rsidRPr="007C3FF5">
        <w:rPr>
          <w:rFonts w:ascii="Times New Roman" w:hAnsi="Times New Roman"/>
          <w:color w:val="000000"/>
          <w:lang w:eastAsia="en-GB" w:bidi="ar-SA"/>
        </w:rPr>
        <w:t xml:space="preserve"> estimate for stamp duty on share transactions </w:t>
      </w:r>
      <w:r w:rsidR="0039395F" w:rsidRPr="007C3FF5">
        <w:rPr>
          <w:rFonts w:ascii="Times New Roman" w:hAnsi="Times New Roman"/>
          <w:color w:val="000000"/>
          <w:lang w:eastAsia="en-GB" w:bidi="ar-SA"/>
        </w:rPr>
        <w:t>is</w:t>
      </w:r>
      <w:r w:rsidR="00C7018A" w:rsidRPr="007C3FF5">
        <w:rPr>
          <w:rFonts w:ascii="Times New Roman" w:hAnsi="Times New Roman"/>
          <w:color w:val="000000"/>
          <w:lang w:eastAsia="en-GB" w:bidi="ar-SA"/>
        </w:rPr>
        <w:t xml:space="preserve"> zero on the grounds that </w:t>
      </w:r>
      <w:proofErr w:type="gramStart"/>
      <w:r w:rsidR="0039395F" w:rsidRPr="007C3FF5">
        <w:rPr>
          <w:rFonts w:ascii="Times New Roman" w:hAnsi="Times New Roman"/>
          <w:color w:val="000000"/>
          <w:lang w:eastAsia="en-GB" w:bidi="ar-SA"/>
        </w:rPr>
        <w:t>a negligible proportion on FTSE-100 and non-FTSE companies are</w:t>
      </w:r>
      <w:proofErr w:type="gramEnd"/>
      <w:r w:rsidR="0039395F" w:rsidRPr="007C3FF5">
        <w:rPr>
          <w:rFonts w:ascii="Times New Roman" w:hAnsi="Times New Roman"/>
          <w:color w:val="000000"/>
          <w:lang w:eastAsia="en-GB" w:bidi="ar-SA"/>
        </w:rPr>
        <w:t xml:space="preserve"> based</w:t>
      </w:r>
      <w:r w:rsidR="00C7018A" w:rsidRPr="007C3FF5">
        <w:rPr>
          <w:rFonts w:ascii="Times New Roman" w:hAnsi="Times New Roman"/>
          <w:color w:val="000000"/>
          <w:lang w:eastAsia="en-GB" w:bidi="ar-SA"/>
        </w:rPr>
        <w:t xml:space="preserve"> in NI.  </w:t>
      </w:r>
    </w:p>
    <w:p w:rsidR="00041D85" w:rsidRPr="007C3FF5" w:rsidRDefault="00041D85" w:rsidP="00231D77">
      <w:pPr>
        <w:pStyle w:val="NoSpacing"/>
        <w:spacing w:line="276" w:lineRule="auto"/>
        <w:ind w:left="426"/>
        <w:jc w:val="both"/>
        <w:rPr>
          <w:rFonts w:ascii="Times New Roman" w:hAnsi="Times New Roman"/>
          <w:color w:val="000000"/>
        </w:rPr>
      </w:pPr>
    </w:p>
    <w:p w:rsidR="006562E7" w:rsidRPr="007C3FF5" w:rsidRDefault="00C7018A" w:rsidP="00231D7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For the purposes of the trial balance for 2010, the DFP figures were used, except for </w:t>
      </w:r>
      <w:r w:rsidR="00063A42" w:rsidRPr="007C3FF5">
        <w:rPr>
          <w:rFonts w:ascii="Times New Roman" w:hAnsi="Times New Roman"/>
          <w:color w:val="000000"/>
        </w:rPr>
        <w:t>VAT</w:t>
      </w:r>
      <w:r w:rsidRPr="007C3FF5">
        <w:rPr>
          <w:rFonts w:ascii="Times New Roman" w:hAnsi="Times New Roman"/>
          <w:color w:val="000000"/>
        </w:rPr>
        <w:t xml:space="preserve"> where average rates payable on intermediate consumption and final demand for the UK in 2010 were applied to the corresponding</w:t>
      </w:r>
      <w:r w:rsidR="0039395F" w:rsidRPr="007C3FF5">
        <w:rPr>
          <w:rFonts w:ascii="Times New Roman" w:hAnsi="Times New Roman"/>
          <w:color w:val="000000"/>
        </w:rPr>
        <w:t xml:space="preserve"> expenditure totals for Northern Ireland.  </w:t>
      </w:r>
      <w:r w:rsidR="00A914F5" w:rsidRPr="007C3FF5">
        <w:rPr>
          <w:rFonts w:ascii="Times New Roman" w:hAnsi="Times New Roman"/>
          <w:color w:val="000000"/>
        </w:rPr>
        <w:t xml:space="preserve">These figures are broadly comparable </w:t>
      </w:r>
      <w:r w:rsidR="00231D77" w:rsidRPr="007C3FF5">
        <w:rPr>
          <w:rFonts w:ascii="Times New Roman" w:hAnsi="Times New Roman"/>
          <w:color w:val="000000"/>
        </w:rPr>
        <w:t xml:space="preserve">with HMRC data </w:t>
      </w:r>
      <w:r w:rsidR="00A914F5" w:rsidRPr="007C3FF5">
        <w:rPr>
          <w:rFonts w:ascii="Times New Roman" w:hAnsi="Times New Roman"/>
          <w:color w:val="000000"/>
        </w:rPr>
        <w:t xml:space="preserve">once timing differences and the increase in the VAT rate </w:t>
      </w:r>
      <w:r w:rsidR="00041D85" w:rsidRPr="007C3FF5">
        <w:rPr>
          <w:rFonts w:ascii="Times New Roman" w:hAnsi="Times New Roman"/>
          <w:color w:val="000000"/>
        </w:rPr>
        <w:t xml:space="preserve">from 17.5% to 20% </w:t>
      </w:r>
      <w:r w:rsidR="00A914F5" w:rsidRPr="007C3FF5">
        <w:rPr>
          <w:rFonts w:ascii="Times New Roman" w:hAnsi="Times New Roman"/>
          <w:color w:val="000000"/>
        </w:rPr>
        <w:t>that took place in January 2011 are taken into account</w:t>
      </w:r>
      <w:r w:rsidR="00041D85" w:rsidRPr="007C3FF5">
        <w:rPr>
          <w:rFonts w:ascii="Times New Roman" w:hAnsi="Times New Roman"/>
          <w:color w:val="000000"/>
        </w:rPr>
        <w:t>.</w:t>
      </w:r>
    </w:p>
    <w:p w:rsidR="00231D77" w:rsidRPr="007C3FF5" w:rsidRDefault="00231D77" w:rsidP="00231D77">
      <w:pPr>
        <w:pStyle w:val="NoSpacing"/>
        <w:spacing w:line="276" w:lineRule="auto"/>
        <w:ind w:left="426"/>
        <w:jc w:val="both"/>
        <w:rPr>
          <w:rFonts w:ascii="Times New Roman" w:hAnsi="Times New Roman"/>
          <w:color w:val="000000"/>
        </w:rPr>
      </w:pPr>
    </w:p>
    <w:p w:rsidR="00C62E57" w:rsidRPr="007C3FF5" w:rsidRDefault="00C62E57" w:rsidP="00231D77">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methodology and sources </w:t>
      </w:r>
      <w:r w:rsidR="00041D85" w:rsidRPr="007C3FF5">
        <w:rPr>
          <w:rFonts w:ascii="Times New Roman" w:hAnsi="Times New Roman"/>
          <w:color w:val="000000"/>
        </w:rPr>
        <w:t xml:space="preserve">used by DFP for other taxes </w:t>
      </w:r>
      <w:r w:rsidRPr="007C3FF5">
        <w:rPr>
          <w:rFonts w:ascii="Times New Roman" w:hAnsi="Times New Roman"/>
          <w:color w:val="000000"/>
        </w:rPr>
        <w:t xml:space="preserve">are </w:t>
      </w:r>
      <w:proofErr w:type="spellStart"/>
      <w:r w:rsidRPr="007C3FF5">
        <w:rPr>
          <w:rFonts w:ascii="Times New Roman" w:hAnsi="Times New Roman"/>
          <w:color w:val="000000"/>
        </w:rPr>
        <w:t>summarised</w:t>
      </w:r>
      <w:proofErr w:type="spellEnd"/>
      <w:r w:rsidRPr="007C3FF5">
        <w:rPr>
          <w:rFonts w:ascii="Times New Roman" w:hAnsi="Times New Roman"/>
          <w:color w:val="000000"/>
        </w:rPr>
        <w:t xml:space="preserve"> in the table below.</w:t>
      </w:r>
    </w:p>
    <w:p w:rsidR="00D22062" w:rsidRPr="007C3FF5" w:rsidRDefault="00D22062" w:rsidP="00231D77">
      <w:pPr>
        <w:pStyle w:val="NoSpacing"/>
        <w:spacing w:line="276" w:lineRule="auto"/>
        <w:ind w:left="426"/>
        <w:jc w:val="both"/>
        <w:rPr>
          <w:rFonts w:ascii="Times New Roman" w:hAnsi="Times New Roman"/>
          <w:color w:val="000000"/>
        </w:rPr>
      </w:pPr>
    </w:p>
    <w:tbl>
      <w:tblPr>
        <w:tblW w:w="4711" w:type="pct"/>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62"/>
        <w:gridCol w:w="3556"/>
        <w:gridCol w:w="2790"/>
      </w:tblGrid>
      <w:tr w:rsidR="00D22062" w:rsidRPr="007C3FF5" w:rsidTr="00D22062">
        <w:tc>
          <w:tcPr>
            <w:tcW w:w="5000" w:type="pct"/>
            <w:gridSpan w:val="3"/>
            <w:shd w:val="clear" w:color="auto" w:fill="1F497D" w:themeFill="text2"/>
            <w:noWrap/>
            <w:vAlign w:val="bottom"/>
            <w:hideMark/>
          </w:tcPr>
          <w:p w:rsidR="00D22062" w:rsidRPr="007C3FF5" w:rsidRDefault="00D22062" w:rsidP="00D22062">
            <w:pPr>
              <w:pStyle w:val="NoSpacing"/>
              <w:jc w:val="center"/>
              <w:rPr>
                <w:rFonts w:ascii="Times New Roman" w:hAnsi="Times New Roman" w:cs="Times New Roman"/>
                <w:b/>
                <w:color w:val="FFFFFF" w:themeColor="background1"/>
                <w:sz w:val="20"/>
                <w:szCs w:val="20"/>
                <w:lang w:eastAsia="en-GB" w:bidi="ar-SA"/>
              </w:rPr>
            </w:pPr>
            <w:r w:rsidRPr="007C3FF5">
              <w:rPr>
                <w:rFonts w:ascii="Times New Roman" w:hAnsi="Times New Roman" w:cs="Times New Roman"/>
                <w:b/>
                <w:bCs/>
                <w:color w:val="FFFFFF" w:themeColor="background1"/>
                <w:sz w:val="20"/>
                <w:szCs w:val="20"/>
                <w:lang w:eastAsia="en-GB" w:bidi="ar-SA"/>
              </w:rPr>
              <w:t>Apportionment methodologies and sources used to estimate Public Sector Revenues in NI: 2010/11</w:t>
            </w:r>
          </w:p>
        </w:tc>
      </w:tr>
      <w:tr w:rsidR="00D22062" w:rsidRPr="007C3FF5" w:rsidTr="00D22062">
        <w:tc>
          <w:tcPr>
            <w:tcW w:w="1356" w:type="pct"/>
            <w:shd w:val="clear" w:color="auto" w:fill="1F497D" w:themeFill="text2"/>
            <w:noWrap/>
            <w:vAlign w:val="bottom"/>
            <w:hideMark/>
          </w:tcPr>
          <w:p w:rsidR="00D22062" w:rsidRPr="007C3FF5" w:rsidRDefault="00D22062" w:rsidP="00D22062">
            <w:pPr>
              <w:pStyle w:val="NoSpacing"/>
              <w:rPr>
                <w:rFonts w:ascii="Times New Roman" w:hAnsi="Times New Roman" w:cs="Times New Roman"/>
                <w:b/>
                <w:color w:val="FFFFFF" w:themeColor="background1"/>
                <w:sz w:val="20"/>
                <w:szCs w:val="20"/>
                <w:lang w:eastAsia="en-GB" w:bidi="ar-SA"/>
              </w:rPr>
            </w:pPr>
            <w:r w:rsidRPr="007C3FF5">
              <w:rPr>
                <w:rFonts w:ascii="Times New Roman" w:hAnsi="Times New Roman" w:cs="Times New Roman"/>
                <w:b/>
                <w:color w:val="FFFFFF" w:themeColor="background1"/>
                <w:sz w:val="20"/>
                <w:szCs w:val="20"/>
                <w:lang w:eastAsia="en-GB" w:bidi="ar-SA"/>
              </w:rPr>
              <w:t>Revenue</w:t>
            </w:r>
          </w:p>
        </w:tc>
        <w:tc>
          <w:tcPr>
            <w:tcW w:w="2042" w:type="pct"/>
            <w:shd w:val="clear" w:color="auto" w:fill="1F497D" w:themeFill="text2"/>
            <w:noWrap/>
            <w:vAlign w:val="bottom"/>
            <w:hideMark/>
          </w:tcPr>
          <w:p w:rsidR="00D22062" w:rsidRPr="007C3FF5" w:rsidRDefault="00D22062" w:rsidP="00D22062">
            <w:pPr>
              <w:pStyle w:val="NoSpacing"/>
              <w:rPr>
                <w:rFonts w:ascii="Times New Roman" w:hAnsi="Times New Roman" w:cs="Times New Roman"/>
                <w:b/>
                <w:color w:val="FFFFFF" w:themeColor="background1"/>
                <w:sz w:val="20"/>
                <w:szCs w:val="20"/>
                <w:lang w:eastAsia="en-GB" w:bidi="ar-SA"/>
              </w:rPr>
            </w:pPr>
            <w:r w:rsidRPr="007C3FF5">
              <w:rPr>
                <w:rFonts w:ascii="Times New Roman" w:hAnsi="Times New Roman" w:cs="Times New Roman"/>
                <w:b/>
                <w:color w:val="FFFFFF" w:themeColor="background1"/>
                <w:sz w:val="20"/>
                <w:szCs w:val="20"/>
                <w:lang w:eastAsia="en-GB" w:bidi="ar-SA"/>
              </w:rPr>
              <w:t>Methodology</w:t>
            </w:r>
          </w:p>
        </w:tc>
        <w:tc>
          <w:tcPr>
            <w:tcW w:w="1603" w:type="pct"/>
            <w:shd w:val="clear" w:color="auto" w:fill="1F497D" w:themeFill="text2"/>
            <w:noWrap/>
            <w:vAlign w:val="bottom"/>
            <w:hideMark/>
          </w:tcPr>
          <w:p w:rsidR="00D22062" w:rsidRPr="007C3FF5" w:rsidRDefault="00D22062" w:rsidP="00D22062">
            <w:pPr>
              <w:pStyle w:val="NoSpacing"/>
              <w:rPr>
                <w:rFonts w:ascii="Times New Roman" w:hAnsi="Times New Roman" w:cs="Times New Roman"/>
                <w:b/>
                <w:color w:val="FFFFFF" w:themeColor="background1"/>
                <w:sz w:val="20"/>
                <w:szCs w:val="20"/>
                <w:lang w:eastAsia="en-GB" w:bidi="ar-SA"/>
              </w:rPr>
            </w:pPr>
            <w:r w:rsidRPr="007C3FF5">
              <w:rPr>
                <w:rFonts w:ascii="Times New Roman" w:hAnsi="Times New Roman" w:cs="Times New Roman"/>
                <w:b/>
                <w:color w:val="FFFFFF" w:themeColor="background1"/>
                <w:sz w:val="20"/>
                <w:szCs w:val="20"/>
                <w:lang w:eastAsia="en-GB" w:bidi="ar-SA"/>
              </w:rPr>
              <w:t>Source</w:t>
            </w:r>
          </w:p>
        </w:tc>
      </w:tr>
      <w:tr w:rsidR="00D22062" w:rsidRPr="007C3FF5" w:rsidTr="00D22062">
        <w:tc>
          <w:tcPr>
            <w:tcW w:w="1356"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Land &amp; property stamp duty</w:t>
            </w:r>
          </w:p>
        </w:tc>
        <w:tc>
          <w:tcPr>
            <w:tcW w:w="2042"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Actual outturns</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HMRC</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Stock &amp; shares stamp duty</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NI/UK ratio of adults owning stocks, shares, unit trusts, PEPs and ISAs</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DWP Family Resources Survey</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Fuel duties</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NI's share of UK road traffic fuel consumption</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Road Transport Energy Consumption at Regional and Local Authority Level: BERR</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Tobacco duties</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NI's share of UK expenditure on tobacco</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Family Spending Survey: ONS</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Alcohol duties</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NI's share of UK expenditure on alcohol</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Family Spending Survey: ONS</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Betting &amp; Gaming duties</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NI's share of UK expenditure on betting and gaming</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Family Spending Survey: ONS</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Air Passenger duty</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NI's share of UK population</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ONS</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Insurance Premium tax</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NI's share of UK population</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ONS</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Land fill tax</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NI's share of UK tonnage sent to landfill</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NI Environment Agency, Scottish Environment Protection Agency, Environment Agency, DEFRA</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Climate Change Levy</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 xml:space="preserve">Electricity: NI's share of UK electricity consumption Solids &amp; other fuels: NI's share of UK GVA (less extra </w:t>
            </w:r>
            <w:proofErr w:type="spellStart"/>
            <w:r w:rsidRPr="007C3FF5">
              <w:rPr>
                <w:rFonts w:ascii="Times New Roman" w:hAnsi="Times New Roman" w:cs="Times New Roman"/>
                <w:sz w:val="20"/>
                <w:szCs w:val="20"/>
                <w:lang w:eastAsia="en-GB" w:bidi="ar-SA"/>
              </w:rPr>
              <w:t>regio</w:t>
            </w:r>
            <w:proofErr w:type="spellEnd"/>
            <w:r w:rsidRPr="007C3FF5">
              <w:rPr>
                <w:rFonts w:ascii="Times New Roman" w:hAnsi="Times New Roman" w:cs="Times New Roman"/>
                <w:sz w:val="20"/>
                <w:szCs w:val="20"/>
                <w:lang w:eastAsia="en-GB" w:bidi="ar-SA"/>
              </w:rPr>
              <w:t>)</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Electricity: BERR Solids &amp; other fuels: HMRC</w:t>
            </w:r>
          </w:p>
        </w:tc>
      </w:tr>
      <w:tr w:rsidR="00D22062" w:rsidRPr="007C3FF5" w:rsidTr="00D22062">
        <w:tc>
          <w:tcPr>
            <w:tcW w:w="1356" w:type="pct"/>
            <w:shd w:val="clear" w:color="auto" w:fill="auto"/>
            <w:noWrap/>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Aggregates Levy</w:t>
            </w:r>
          </w:p>
        </w:tc>
        <w:tc>
          <w:tcPr>
            <w:tcW w:w="2042"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 xml:space="preserve">NI’s share of UK GVA (less extra </w:t>
            </w:r>
            <w:proofErr w:type="spellStart"/>
            <w:r w:rsidRPr="007C3FF5">
              <w:rPr>
                <w:rFonts w:ascii="Times New Roman" w:hAnsi="Times New Roman" w:cs="Times New Roman"/>
                <w:sz w:val="20"/>
                <w:szCs w:val="20"/>
                <w:lang w:eastAsia="en-GB" w:bidi="ar-SA"/>
              </w:rPr>
              <w:t>regio</w:t>
            </w:r>
            <w:proofErr w:type="spellEnd"/>
            <w:r w:rsidRPr="007C3FF5">
              <w:rPr>
                <w:rFonts w:ascii="Times New Roman" w:hAnsi="Times New Roman" w:cs="Times New Roman"/>
                <w:sz w:val="20"/>
                <w:szCs w:val="20"/>
                <w:lang w:eastAsia="en-GB" w:bidi="ar-SA"/>
              </w:rPr>
              <w:t>)</w:t>
            </w:r>
          </w:p>
        </w:tc>
        <w:tc>
          <w:tcPr>
            <w:tcW w:w="1603" w:type="pct"/>
            <w:shd w:val="clear" w:color="auto" w:fill="auto"/>
            <w:vAlign w:val="bottom"/>
            <w:hideMark/>
          </w:tcPr>
          <w:p w:rsidR="00D22062" w:rsidRPr="007C3FF5" w:rsidRDefault="00D22062" w:rsidP="00D22062">
            <w:pPr>
              <w:pStyle w:val="NoSpacing"/>
              <w:rPr>
                <w:rFonts w:ascii="Times New Roman" w:hAnsi="Times New Roman" w:cs="Times New Roman"/>
                <w:sz w:val="20"/>
                <w:szCs w:val="20"/>
                <w:lang w:eastAsia="en-GB" w:bidi="ar-SA"/>
              </w:rPr>
            </w:pPr>
            <w:r w:rsidRPr="007C3FF5">
              <w:rPr>
                <w:rFonts w:ascii="Times New Roman" w:hAnsi="Times New Roman" w:cs="Times New Roman"/>
                <w:sz w:val="20"/>
                <w:szCs w:val="20"/>
                <w:lang w:eastAsia="en-GB" w:bidi="ar-SA"/>
              </w:rPr>
              <w:t>Regional Accounts: ONS</w:t>
            </w:r>
          </w:p>
        </w:tc>
      </w:tr>
    </w:tbl>
    <w:p w:rsidR="00D22062" w:rsidRPr="007C3FF5" w:rsidRDefault="00D22062" w:rsidP="00D22062">
      <w:pPr>
        <w:pStyle w:val="NoSpacing"/>
        <w:spacing w:line="276" w:lineRule="auto"/>
        <w:ind w:left="426"/>
        <w:jc w:val="both"/>
        <w:rPr>
          <w:rFonts w:ascii="Times New Roman" w:hAnsi="Times New Roman"/>
          <w:color w:val="000000"/>
          <w:sz w:val="20"/>
          <w:szCs w:val="20"/>
        </w:rPr>
      </w:pPr>
      <w:r w:rsidRPr="007C3FF5">
        <w:rPr>
          <w:rFonts w:ascii="Times New Roman" w:hAnsi="Times New Roman"/>
          <w:color w:val="000000"/>
          <w:sz w:val="20"/>
          <w:szCs w:val="20"/>
        </w:rPr>
        <w:t xml:space="preserve">Source: DFP Northern Ireland Net Fiscal Balance </w:t>
      </w:r>
      <w:proofErr w:type="gramStart"/>
      <w:r w:rsidRPr="007C3FF5">
        <w:rPr>
          <w:rFonts w:ascii="Times New Roman" w:hAnsi="Times New Roman"/>
          <w:color w:val="000000"/>
          <w:sz w:val="20"/>
          <w:szCs w:val="20"/>
        </w:rPr>
        <w:t>Report  2009</w:t>
      </w:r>
      <w:proofErr w:type="gramEnd"/>
      <w:r w:rsidRPr="007C3FF5">
        <w:rPr>
          <w:rFonts w:ascii="Times New Roman" w:hAnsi="Times New Roman"/>
          <w:color w:val="000000"/>
          <w:sz w:val="20"/>
          <w:szCs w:val="20"/>
        </w:rPr>
        <w:t>-10 and 2010-11</w:t>
      </w:r>
    </w:p>
    <w:p w:rsidR="00D22062" w:rsidRPr="007C3FF5" w:rsidRDefault="00D22062" w:rsidP="00D22062">
      <w:pPr>
        <w:pStyle w:val="NoSpacing"/>
        <w:spacing w:line="276" w:lineRule="auto"/>
        <w:ind w:left="426"/>
        <w:jc w:val="both"/>
        <w:rPr>
          <w:rFonts w:ascii="Times New Roman" w:hAnsi="Times New Roman"/>
          <w:color w:val="000000"/>
        </w:rPr>
      </w:pPr>
    </w:p>
    <w:p w:rsidR="0031509F" w:rsidRPr="007C3FF5" w:rsidRDefault="0031509F" w:rsidP="00D22062">
      <w:pPr>
        <w:pStyle w:val="Heading3"/>
        <w:rPr>
          <w:rFonts w:ascii="Times New Roman" w:hAnsi="Times New Roman" w:cs="Times New Roman"/>
          <w:lang w:bidi="ar-SA"/>
        </w:rPr>
      </w:pPr>
      <w:bookmarkStart w:id="43" w:name="_Toc383010509"/>
      <w:r w:rsidRPr="007C3FF5">
        <w:rPr>
          <w:rFonts w:ascii="Times New Roman" w:hAnsi="Times New Roman" w:cs="Times New Roman"/>
          <w:lang w:bidi="ar-SA"/>
        </w:rPr>
        <w:t>Subsidies on products</w:t>
      </w:r>
      <w:bookmarkEnd w:id="43"/>
      <w:r w:rsidRPr="007C3FF5">
        <w:rPr>
          <w:rFonts w:ascii="Times New Roman" w:hAnsi="Times New Roman" w:cs="Times New Roman"/>
          <w:lang w:bidi="ar-SA"/>
        </w:rPr>
        <w:t xml:space="preserve"> </w:t>
      </w:r>
    </w:p>
    <w:p w:rsidR="00D22062" w:rsidRPr="007C3FF5" w:rsidRDefault="00D22062" w:rsidP="00D22062">
      <w:pPr>
        <w:pStyle w:val="NoSpacing"/>
        <w:spacing w:line="276" w:lineRule="auto"/>
        <w:ind w:left="426"/>
        <w:jc w:val="both"/>
        <w:rPr>
          <w:rFonts w:ascii="Times New Roman" w:hAnsi="Times New Roman"/>
          <w:color w:val="000000"/>
        </w:rPr>
      </w:pPr>
    </w:p>
    <w:p w:rsidR="00461BDB" w:rsidRPr="007C3FF5" w:rsidRDefault="0031509F" w:rsidP="00D2206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Subsidies on products are </w:t>
      </w:r>
      <w:r w:rsidR="00D10CFD" w:rsidRPr="007C3FF5">
        <w:rPr>
          <w:rFonts w:ascii="Times New Roman" w:hAnsi="Times New Roman"/>
          <w:color w:val="000000"/>
        </w:rPr>
        <w:t xml:space="preserve">subsidies payable </w:t>
      </w:r>
      <w:r w:rsidRPr="007C3FF5">
        <w:rPr>
          <w:rFonts w:ascii="Times New Roman" w:hAnsi="Times New Roman"/>
          <w:color w:val="000000"/>
        </w:rPr>
        <w:t xml:space="preserve">per unit of quantity or an ad valorem basis. </w:t>
      </w:r>
      <w:r w:rsidR="00461BDB" w:rsidRPr="007C3FF5">
        <w:rPr>
          <w:rFonts w:ascii="Times New Roman" w:hAnsi="Times New Roman"/>
          <w:color w:val="000000"/>
        </w:rPr>
        <w:t>For the NI SUT, subsidies are included for the following products:</w:t>
      </w:r>
    </w:p>
    <w:p w:rsidR="00D22062" w:rsidRPr="007C3FF5" w:rsidRDefault="00D22062" w:rsidP="00D22062">
      <w:pPr>
        <w:pStyle w:val="NoSpacing"/>
        <w:spacing w:line="276" w:lineRule="auto"/>
        <w:ind w:left="426"/>
        <w:jc w:val="both"/>
        <w:rPr>
          <w:rFonts w:ascii="Times New Roman" w:hAnsi="Times New Roman"/>
          <w:color w:val="000000"/>
        </w:rPr>
      </w:pPr>
    </w:p>
    <w:p w:rsidR="00461BDB" w:rsidRPr="007C3FF5" w:rsidRDefault="00D22062"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Agriculture</w:t>
      </w:r>
      <w:r w:rsidR="00461BDB" w:rsidRPr="007C3FF5">
        <w:rPr>
          <w:rFonts w:ascii="Times New Roman" w:hAnsi="Times New Roman"/>
          <w:color w:val="000000"/>
          <w:lang w:eastAsia="en-GB" w:bidi="ar-SA"/>
        </w:rPr>
        <w:t>, taken from figures published by DARD</w:t>
      </w:r>
      <w:r w:rsidRPr="007C3FF5">
        <w:rPr>
          <w:rFonts w:ascii="Times New Roman" w:hAnsi="Times New Roman"/>
          <w:color w:val="000000"/>
          <w:lang w:eastAsia="en-GB" w:bidi="ar-SA"/>
        </w:rPr>
        <w:t>; and</w:t>
      </w:r>
    </w:p>
    <w:p w:rsidR="00D10CFD" w:rsidRPr="007C3FF5" w:rsidRDefault="000D26B6"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 xml:space="preserve">Passenger travel by bus and </w:t>
      </w:r>
      <w:r w:rsidR="00D10CFD" w:rsidRPr="007C3FF5">
        <w:rPr>
          <w:rFonts w:ascii="Times New Roman" w:hAnsi="Times New Roman"/>
          <w:color w:val="000000"/>
          <w:lang w:eastAsia="en-GB" w:bidi="ar-SA"/>
        </w:rPr>
        <w:t>rail</w:t>
      </w:r>
      <w:r w:rsidRPr="007C3FF5">
        <w:rPr>
          <w:rFonts w:ascii="Times New Roman" w:hAnsi="Times New Roman"/>
          <w:color w:val="000000"/>
          <w:lang w:eastAsia="en-GB" w:bidi="ar-SA"/>
        </w:rPr>
        <w:t xml:space="preserve">, taken from published information about subsidies paid to </w:t>
      </w:r>
      <w:proofErr w:type="spellStart"/>
      <w:r w:rsidRPr="007C3FF5">
        <w:rPr>
          <w:rFonts w:ascii="Times New Roman" w:hAnsi="Times New Roman"/>
          <w:color w:val="000000"/>
          <w:lang w:eastAsia="en-GB" w:bidi="ar-SA"/>
        </w:rPr>
        <w:t>Translink</w:t>
      </w:r>
      <w:proofErr w:type="spellEnd"/>
      <w:r w:rsidRPr="007C3FF5">
        <w:rPr>
          <w:rFonts w:ascii="Times New Roman" w:hAnsi="Times New Roman"/>
          <w:color w:val="000000"/>
          <w:lang w:eastAsia="en-GB" w:bidi="ar-SA"/>
        </w:rPr>
        <w:t>.</w:t>
      </w:r>
    </w:p>
    <w:p w:rsidR="0031509F" w:rsidRPr="007C3FF5" w:rsidRDefault="0031509F" w:rsidP="00D22062">
      <w:pPr>
        <w:pStyle w:val="NoSpacing"/>
        <w:spacing w:line="276" w:lineRule="auto"/>
        <w:ind w:left="426"/>
        <w:jc w:val="both"/>
        <w:rPr>
          <w:rFonts w:ascii="Times New Roman" w:hAnsi="Times New Roman" w:cs="Times New Roman"/>
        </w:rPr>
      </w:pPr>
    </w:p>
    <w:p w:rsidR="001C5A54" w:rsidRPr="007C3FF5" w:rsidRDefault="001C5A54" w:rsidP="00D22062">
      <w:pPr>
        <w:pStyle w:val="Heading2"/>
        <w:ind w:left="426"/>
        <w:rPr>
          <w:rFonts w:ascii="Times New Roman" w:hAnsi="Times New Roman" w:cs="Times New Roman"/>
          <w:lang w:bidi="ar-SA"/>
        </w:rPr>
      </w:pPr>
      <w:bookmarkStart w:id="44" w:name="_Toc383010510"/>
      <w:r w:rsidRPr="007C3FF5">
        <w:rPr>
          <w:rFonts w:ascii="Times New Roman" w:hAnsi="Times New Roman" w:cs="Times New Roman"/>
          <w:lang w:bidi="ar-SA"/>
        </w:rPr>
        <w:t>Balancing the tables</w:t>
      </w:r>
      <w:bookmarkEnd w:id="44"/>
      <w:r w:rsidRPr="007C3FF5">
        <w:rPr>
          <w:rFonts w:ascii="Times New Roman" w:hAnsi="Times New Roman" w:cs="Times New Roman"/>
          <w:lang w:bidi="ar-SA"/>
        </w:rPr>
        <w:t xml:space="preserve"> </w:t>
      </w:r>
    </w:p>
    <w:p w:rsidR="00F4531C" w:rsidRPr="007C3FF5" w:rsidRDefault="00F4531C" w:rsidP="00D22062">
      <w:pPr>
        <w:pStyle w:val="Heading3"/>
        <w:rPr>
          <w:rFonts w:ascii="Times New Roman" w:hAnsi="Times New Roman" w:cs="Times New Roman"/>
          <w:lang w:bidi="ar-SA"/>
        </w:rPr>
      </w:pPr>
      <w:bookmarkStart w:id="45" w:name="_Toc383010511"/>
      <w:r w:rsidRPr="007C3FF5">
        <w:rPr>
          <w:rFonts w:ascii="Times New Roman" w:hAnsi="Times New Roman" w:cs="Times New Roman"/>
          <w:lang w:bidi="ar-SA"/>
        </w:rPr>
        <w:t>General approach to balancing</w:t>
      </w:r>
      <w:bookmarkEnd w:id="45"/>
    </w:p>
    <w:p w:rsidR="00D22062" w:rsidRPr="007C3FF5" w:rsidRDefault="00D22062" w:rsidP="001631FE">
      <w:pPr>
        <w:autoSpaceDE w:val="0"/>
        <w:autoSpaceDN w:val="0"/>
        <w:adjustRightInd w:val="0"/>
        <w:spacing w:after="180"/>
        <w:rPr>
          <w:rFonts w:ascii="Times New Roman" w:hAnsi="Times New Roman"/>
        </w:rPr>
      </w:pPr>
    </w:p>
    <w:p w:rsidR="00F4531C" w:rsidRPr="007C3FF5" w:rsidRDefault="00210A9F" w:rsidP="00D2206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compilation of the SUT involves the use of a range of different data sources and assumptions.  This generally means that when first put together the tables do not balance.  </w:t>
      </w:r>
      <w:r w:rsidR="00287DDC" w:rsidRPr="007C3FF5">
        <w:rPr>
          <w:rFonts w:ascii="Times New Roman" w:hAnsi="Times New Roman"/>
          <w:color w:val="000000"/>
        </w:rPr>
        <w:t xml:space="preserve">There are two accounting identities that apply when the </w:t>
      </w:r>
      <w:r w:rsidR="00492020" w:rsidRPr="007C3FF5">
        <w:rPr>
          <w:rFonts w:ascii="Times New Roman" w:hAnsi="Times New Roman"/>
          <w:color w:val="000000"/>
        </w:rPr>
        <w:t>Supply Use T</w:t>
      </w:r>
      <w:r w:rsidR="00287DDC" w:rsidRPr="007C3FF5">
        <w:rPr>
          <w:rFonts w:ascii="Times New Roman" w:hAnsi="Times New Roman"/>
          <w:color w:val="000000"/>
        </w:rPr>
        <w:t>ables are fully balanced</w:t>
      </w:r>
      <w:r w:rsidR="00E81E33" w:rsidRPr="007C3FF5">
        <w:rPr>
          <w:rFonts w:ascii="Times New Roman" w:hAnsi="Times New Roman"/>
          <w:color w:val="000000"/>
        </w:rPr>
        <w:t xml:space="preserve">, namely </w:t>
      </w:r>
      <w:r w:rsidR="00287DDC" w:rsidRPr="007C3FF5">
        <w:rPr>
          <w:rFonts w:ascii="Times New Roman" w:hAnsi="Times New Roman"/>
          <w:color w:val="000000"/>
        </w:rPr>
        <w:t>the industry balance con</w:t>
      </w:r>
      <w:r w:rsidR="002A2A6F" w:rsidRPr="007C3FF5">
        <w:rPr>
          <w:rFonts w:ascii="Times New Roman" w:hAnsi="Times New Roman"/>
          <w:color w:val="000000"/>
        </w:rPr>
        <w:t>dition, and the product balance condition</w:t>
      </w:r>
      <w:r w:rsidR="00F4531C" w:rsidRPr="007C3FF5">
        <w:rPr>
          <w:rFonts w:ascii="Times New Roman" w:hAnsi="Times New Roman"/>
          <w:color w:val="000000"/>
        </w:rPr>
        <w:t>:</w:t>
      </w:r>
    </w:p>
    <w:p w:rsidR="00D22062" w:rsidRPr="007C3FF5" w:rsidRDefault="00D22062" w:rsidP="00D22062">
      <w:pPr>
        <w:pStyle w:val="NoSpacing"/>
        <w:spacing w:line="276" w:lineRule="auto"/>
        <w:ind w:left="426"/>
        <w:jc w:val="both"/>
        <w:rPr>
          <w:rFonts w:ascii="Times New Roman" w:hAnsi="Times New Roman"/>
          <w:color w:val="000000"/>
        </w:rPr>
      </w:pPr>
    </w:p>
    <w:p w:rsidR="003776CF" w:rsidRPr="007C3FF5" w:rsidRDefault="00F4531C"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 xml:space="preserve">The industry balance requires </w:t>
      </w:r>
      <w:r w:rsidR="003776CF" w:rsidRPr="007C3FF5">
        <w:rPr>
          <w:rFonts w:ascii="Times New Roman" w:hAnsi="Times New Roman"/>
          <w:color w:val="000000"/>
          <w:lang w:eastAsia="en-GB" w:bidi="ar-SA"/>
        </w:rPr>
        <w:t xml:space="preserve">the column totals of the domestic Supply Table at basic prices (outputs by industry) </w:t>
      </w:r>
      <w:r w:rsidRPr="007C3FF5">
        <w:rPr>
          <w:rFonts w:ascii="Times New Roman" w:hAnsi="Times New Roman"/>
          <w:color w:val="000000"/>
          <w:lang w:eastAsia="en-GB" w:bidi="ar-SA"/>
        </w:rPr>
        <w:t>to</w:t>
      </w:r>
      <w:r w:rsidR="003776CF" w:rsidRPr="007C3FF5">
        <w:rPr>
          <w:rFonts w:ascii="Times New Roman" w:hAnsi="Times New Roman"/>
          <w:color w:val="000000"/>
          <w:lang w:eastAsia="en-GB" w:bidi="ar-SA"/>
        </w:rPr>
        <w:t xml:space="preserve"> equal the column totals of the left hand side of the Use Table (inputs by industry). </w:t>
      </w:r>
    </w:p>
    <w:p w:rsidR="00EB2735" w:rsidRPr="007C3FF5" w:rsidRDefault="00F4531C"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 xml:space="preserve">The product balance requires </w:t>
      </w:r>
      <w:r w:rsidR="003776CF" w:rsidRPr="007C3FF5">
        <w:rPr>
          <w:rFonts w:ascii="Times New Roman" w:hAnsi="Times New Roman"/>
          <w:color w:val="000000"/>
          <w:lang w:eastAsia="en-GB" w:bidi="ar-SA"/>
        </w:rPr>
        <w:t>the row sums of the Supply</w:t>
      </w:r>
      <w:r w:rsidR="00EB2735" w:rsidRPr="007C3FF5">
        <w:rPr>
          <w:rFonts w:ascii="Times New Roman" w:hAnsi="Times New Roman"/>
          <w:color w:val="000000"/>
          <w:lang w:eastAsia="en-GB" w:bidi="ar-SA"/>
        </w:rPr>
        <w:t xml:space="preserve"> table to equal those in the Combined Use table so</w:t>
      </w:r>
      <w:r w:rsidR="003776CF" w:rsidRPr="007C3FF5">
        <w:rPr>
          <w:rFonts w:ascii="Times New Roman" w:hAnsi="Times New Roman"/>
          <w:color w:val="000000"/>
          <w:lang w:eastAsia="en-GB" w:bidi="ar-SA"/>
        </w:rPr>
        <w:t xml:space="preserve"> that total demand for products is equal to total supply</w:t>
      </w:r>
      <w:r w:rsidR="00D22062" w:rsidRPr="007C3FF5">
        <w:rPr>
          <w:rFonts w:ascii="Times New Roman" w:hAnsi="Times New Roman"/>
          <w:color w:val="000000"/>
          <w:lang w:eastAsia="en-GB" w:bidi="ar-SA"/>
        </w:rPr>
        <w:t>.</w:t>
      </w:r>
    </w:p>
    <w:p w:rsidR="00D22062" w:rsidRPr="007C3FF5" w:rsidRDefault="00D22062" w:rsidP="00D22062">
      <w:pPr>
        <w:pStyle w:val="NoSpacing"/>
        <w:spacing w:line="276" w:lineRule="auto"/>
        <w:ind w:left="426"/>
        <w:jc w:val="both"/>
        <w:rPr>
          <w:rFonts w:ascii="Times New Roman" w:hAnsi="Times New Roman"/>
          <w:color w:val="000000"/>
        </w:rPr>
      </w:pPr>
    </w:p>
    <w:p w:rsidR="009362BE" w:rsidRPr="007C3FF5" w:rsidRDefault="00EB2735" w:rsidP="00D22062">
      <w:pPr>
        <w:pStyle w:val="NoSpacing"/>
        <w:spacing w:line="276" w:lineRule="auto"/>
        <w:ind w:left="426"/>
        <w:jc w:val="both"/>
        <w:rPr>
          <w:rFonts w:ascii="Times New Roman" w:hAnsi="Times New Roman"/>
          <w:color w:val="000000"/>
        </w:rPr>
      </w:pPr>
      <w:r w:rsidRPr="007C3FF5">
        <w:rPr>
          <w:rFonts w:ascii="Times New Roman" w:hAnsi="Times New Roman"/>
          <w:color w:val="000000"/>
        </w:rPr>
        <w:t>The first stage of balancing</w:t>
      </w:r>
      <w:r w:rsidR="00B95465" w:rsidRPr="007C3FF5">
        <w:rPr>
          <w:rFonts w:ascii="Times New Roman" w:hAnsi="Times New Roman"/>
          <w:color w:val="000000"/>
        </w:rPr>
        <w:t xml:space="preserve"> usual</w:t>
      </w:r>
      <w:r w:rsidRPr="007C3FF5">
        <w:rPr>
          <w:rFonts w:ascii="Times New Roman" w:hAnsi="Times New Roman"/>
          <w:color w:val="000000"/>
        </w:rPr>
        <w:t xml:space="preserve">ly involves the introduction of </w:t>
      </w:r>
      <w:r w:rsidR="00B95465" w:rsidRPr="007C3FF5">
        <w:rPr>
          <w:rFonts w:ascii="Times New Roman" w:hAnsi="Times New Roman"/>
          <w:color w:val="000000"/>
        </w:rPr>
        <w:t>manual balanc</w:t>
      </w:r>
      <w:r w:rsidR="00951864" w:rsidRPr="007C3FF5">
        <w:rPr>
          <w:rFonts w:ascii="Times New Roman" w:hAnsi="Times New Roman"/>
          <w:color w:val="000000"/>
        </w:rPr>
        <w:t>ing adjustments to</w:t>
      </w:r>
      <w:r w:rsidR="00B95465" w:rsidRPr="007C3FF5">
        <w:rPr>
          <w:rFonts w:ascii="Times New Roman" w:hAnsi="Times New Roman"/>
          <w:color w:val="000000"/>
        </w:rPr>
        <w:t xml:space="preserve"> </w:t>
      </w:r>
      <w:r w:rsidRPr="007C3FF5">
        <w:rPr>
          <w:rFonts w:ascii="Times New Roman" w:hAnsi="Times New Roman"/>
          <w:color w:val="000000"/>
        </w:rPr>
        <w:t xml:space="preserve">remove some of the large imbalances.  </w:t>
      </w:r>
      <w:r w:rsidR="001C5A54" w:rsidRPr="007C3FF5">
        <w:rPr>
          <w:rFonts w:ascii="Times New Roman" w:hAnsi="Times New Roman"/>
          <w:color w:val="000000"/>
        </w:rPr>
        <w:t xml:space="preserve">Information in the table itself, from the time series of tables, and any external information which can be brought to bear </w:t>
      </w:r>
      <w:r w:rsidR="009864E2" w:rsidRPr="007C3FF5">
        <w:rPr>
          <w:rFonts w:ascii="Times New Roman" w:hAnsi="Times New Roman"/>
          <w:color w:val="000000"/>
        </w:rPr>
        <w:t>may be</w:t>
      </w:r>
      <w:r w:rsidR="001C5A54" w:rsidRPr="007C3FF5">
        <w:rPr>
          <w:rFonts w:ascii="Times New Roman" w:hAnsi="Times New Roman"/>
          <w:color w:val="000000"/>
        </w:rPr>
        <w:t xml:space="preserve"> used to help inform this process. </w:t>
      </w:r>
      <w:r w:rsidR="009362BE" w:rsidRPr="007C3FF5">
        <w:rPr>
          <w:rFonts w:ascii="Times New Roman" w:hAnsi="Times New Roman"/>
          <w:color w:val="000000"/>
        </w:rPr>
        <w:t xml:space="preserve">The plausibility of </w:t>
      </w:r>
      <w:r w:rsidR="00B55CEB" w:rsidRPr="007C3FF5">
        <w:rPr>
          <w:rFonts w:ascii="Times New Roman" w:hAnsi="Times New Roman"/>
          <w:color w:val="000000"/>
        </w:rPr>
        <w:t>the cells in the matrices</w:t>
      </w:r>
      <w:r w:rsidR="009362BE" w:rsidRPr="007C3FF5">
        <w:rPr>
          <w:rFonts w:ascii="Times New Roman" w:hAnsi="Times New Roman"/>
          <w:color w:val="000000"/>
        </w:rPr>
        <w:t xml:space="preserve"> should also be assessed</w:t>
      </w:r>
      <w:r w:rsidR="00B55CEB" w:rsidRPr="007C3FF5">
        <w:rPr>
          <w:rFonts w:ascii="Times New Roman" w:hAnsi="Times New Roman"/>
          <w:color w:val="000000"/>
        </w:rPr>
        <w:t xml:space="preserve"> e</w:t>
      </w:r>
      <w:r w:rsidR="00D22062" w:rsidRPr="007C3FF5">
        <w:rPr>
          <w:rFonts w:ascii="Times New Roman" w:hAnsi="Times New Roman"/>
          <w:color w:val="000000"/>
        </w:rPr>
        <w:t>.</w:t>
      </w:r>
      <w:r w:rsidR="00B55CEB" w:rsidRPr="007C3FF5">
        <w:rPr>
          <w:rFonts w:ascii="Times New Roman" w:hAnsi="Times New Roman"/>
          <w:color w:val="000000"/>
        </w:rPr>
        <w:t>g</w:t>
      </w:r>
      <w:r w:rsidR="00D22062" w:rsidRPr="007C3FF5">
        <w:rPr>
          <w:rFonts w:ascii="Times New Roman" w:hAnsi="Times New Roman"/>
          <w:color w:val="000000"/>
        </w:rPr>
        <w:t>.</w:t>
      </w:r>
      <w:r w:rsidR="00B55CEB" w:rsidRPr="007C3FF5">
        <w:rPr>
          <w:rFonts w:ascii="Times New Roman" w:hAnsi="Times New Roman"/>
          <w:color w:val="000000"/>
        </w:rPr>
        <w:t xml:space="preserve"> do the cells in the intermediate consumption part of the Use Table</w:t>
      </w:r>
      <w:r w:rsidR="009362BE" w:rsidRPr="007C3FF5">
        <w:rPr>
          <w:rFonts w:ascii="Times New Roman" w:hAnsi="Times New Roman"/>
          <w:color w:val="000000"/>
        </w:rPr>
        <w:t xml:space="preserve"> look sensible when compared to the UK (i.e. they do not represent an unreasonably small or large proportion of the corresponding UK cells). </w:t>
      </w:r>
    </w:p>
    <w:p w:rsidR="00D22062" w:rsidRPr="007C3FF5" w:rsidRDefault="00D22062" w:rsidP="00D22062">
      <w:pPr>
        <w:pStyle w:val="NoSpacing"/>
        <w:spacing w:line="276" w:lineRule="auto"/>
        <w:ind w:left="426"/>
        <w:jc w:val="both"/>
        <w:rPr>
          <w:rFonts w:ascii="Times New Roman" w:hAnsi="Times New Roman"/>
          <w:color w:val="000000"/>
        </w:rPr>
      </w:pPr>
    </w:p>
    <w:p w:rsidR="001C5A54" w:rsidRPr="007C3FF5" w:rsidRDefault="001C5A54" w:rsidP="00D2206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matrix nature of the tables means that adjustments to one cell to bring a row into balance can introduce imbalances into other rows and columns. Imbalances identified here can also bring to light problems arising earlier in the compilation process, and require amendments to column totals in order to maintain the industry balance. Within the manual balance system, balancing adjustments </w:t>
      </w:r>
      <w:r w:rsidR="009864E2" w:rsidRPr="007C3FF5">
        <w:rPr>
          <w:rFonts w:ascii="Times New Roman" w:hAnsi="Times New Roman"/>
          <w:color w:val="000000"/>
        </w:rPr>
        <w:t>should be</w:t>
      </w:r>
      <w:r w:rsidRPr="007C3FF5">
        <w:rPr>
          <w:rFonts w:ascii="Times New Roman" w:hAnsi="Times New Roman"/>
          <w:color w:val="000000"/>
        </w:rPr>
        <w:t xml:space="preserve"> made as much as possible to data items with the least robust data source. </w:t>
      </w:r>
    </w:p>
    <w:p w:rsidR="00D22062" w:rsidRPr="007C3FF5" w:rsidRDefault="00D22062" w:rsidP="00D22062">
      <w:pPr>
        <w:pStyle w:val="NoSpacing"/>
        <w:spacing w:line="276" w:lineRule="auto"/>
        <w:ind w:left="426"/>
        <w:jc w:val="both"/>
        <w:rPr>
          <w:rFonts w:ascii="Times New Roman" w:hAnsi="Times New Roman"/>
          <w:color w:val="000000"/>
        </w:rPr>
      </w:pPr>
    </w:p>
    <w:p w:rsidR="00D315AF" w:rsidRPr="007C3FF5" w:rsidRDefault="00D315AF" w:rsidP="00D22062">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process </w:t>
      </w:r>
      <w:r w:rsidR="0031509F" w:rsidRPr="007C3FF5">
        <w:rPr>
          <w:rFonts w:ascii="Times New Roman" w:hAnsi="Times New Roman"/>
          <w:color w:val="000000"/>
        </w:rPr>
        <w:t>of balancing</w:t>
      </w:r>
      <w:r w:rsidRPr="007C3FF5">
        <w:rPr>
          <w:rFonts w:ascii="Times New Roman" w:hAnsi="Times New Roman"/>
          <w:color w:val="000000"/>
        </w:rPr>
        <w:t xml:space="preserve"> is neither straightforward nor linear. Problems may come to light at a later stage in the process which require</w:t>
      </w:r>
      <w:r w:rsidR="0031509F" w:rsidRPr="007C3FF5">
        <w:rPr>
          <w:rFonts w:ascii="Times New Roman" w:hAnsi="Times New Roman"/>
          <w:color w:val="000000"/>
        </w:rPr>
        <w:t>s</w:t>
      </w:r>
      <w:r w:rsidRPr="007C3FF5">
        <w:rPr>
          <w:rFonts w:ascii="Times New Roman" w:hAnsi="Times New Roman"/>
          <w:color w:val="000000"/>
        </w:rPr>
        <w:t xml:space="preserve"> revisiting of the earlier stages. More fundamentally, significant changes made during the balancing process can render the tables inconsistent with the tax, margin and subsidy figures. Re-estimating these can then return the tables to an unbalanced state. An iterative process of re-estimation and rebalancing </w:t>
      </w:r>
      <w:r w:rsidR="00492020" w:rsidRPr="007C3FF5">
        <w:rPr>
          <w:rFonts w:ascii="Times New Roman" w:hAnsi="Times New Roman"/>
          <w:color w:val="000000"/>
        </w:rPr>
        <w:t xml:space="preserve">is </w:t>
      </w:r>
      <w:r w:rsidRPr="007C3FF5">
        <w:rPr>
          <w:rFonts w:ascii="Times New Roman" w:hAnsi="Times New Roman"/>
          <w:color w:val="000000"/>
        </w:rPr>
        <w:t>therefore</w:t>
      </w:r>
      <w:r w:rsidR="009864E2" w:rsidRPr="007C3FF5">
        <w:rPr>
          <w:rFonts w:ascii="Times New Roman" w:hAnsi="Times New Roman"/>
          <w:color w:val="000000"/>
        </w:rPr>
        <w:t xml:space="preserve"> </w:t>
      </w:r>
      <w:r w:rsidR="00492020" w:rsidRPr="007C3FF5">
        <w:rPr>
          <w:rFonts w:ascii="Times New Roman" w:hAnsi="Times New Roman"/>
          <w:color w:val="000000"/>
        </w:rPr>
        <w:t>required</w:t>
      </w:r>
      <w:r w:rsidRPr="007C3FF5">
        <w:rPr>
          <w:rFonts w:ascii="Times New Roman" w:hAnsi="Times New Roman"/>
          <w:color w:val="000000"/>
        </w:rPr>
        <w:t xml:space="preserve"> until the tables converge to a consistent and balanced final estimate. </w:t>
      </w:r>
    </w:p>
    <w:p w:rsidR="00D22062" w:rsidRPr="007C3FF5" w:rsidRDefault="00D22062" w:rsidP="00D22062">
      <w:pPr>
        <w:pStyle w:val="NoSpacing"/>
        <w:spacing w:line="276" w:lineRule="auto"/>
        <w:ind w:left="426"/>
        <w:jc w:val="both"/>
        <w:rPr>
          <w:rFonts w:ascii="Times New Roman" w:hAnsi="Times New Roman"/>
          <w:color w:val="000000"/>
        </w:rPr>
      </w:pPr>
    </w:p>
    <w:p w:rsidR="00EB2735" w:rsidRPr="007C3FF5" w:rsidRDefault="00EB2735" w:rsidP="00D22062">
      <w:pPr>
        <w:pStyle w:val="NoSpacing"/>
        <w:spacing w:line="276" w:lineRule="auto"/>
        <w:ind w:left="426"/>
        <w:jc w:val="both"/>
        <w:rPr>
          <w:rFonts w:ascii="Times New Roman" w:hAnsi="Times New Roman" w:cs="Times New Roman"/>
        </w:rPr>
      </w:pPr>
      <w:r w:rsidRPr="007C3FF5">
        <w:rPr>
          <w:rFonts w:ascii="Times New Roman" w:hAnsi="Times New Roman"/>
          <w:color w:val="000000"/>
        </w:rPr>
        <w:t>Once</w:t>
      </w:r>
      <w:r w:rsidR="001C5A54" w:rsidRPr="007C3FF5">
        <w:rPr>
          <w:rFonts w:ascii="Times New Roman" w:hAnsi="Times New Roman"/>
          <w:color w:val="000000"/>
        </w:rPr>
        <w:t xml:space="preserve"> manual adjustment</w:t>
      </w:r>
      <w:r w:rsidRPr="007C3FF5">
        <w:rPr>
          <w:rFonts w:ascii="Times New Roman" w:hAnsi="Times New Roman"/>
          <w:color w:val="000000"/>
        </w:rPr>
        <w:t>s</w:t>
      </w:r>
      <w:r w:rsidR="001C5A54" w:rsidRPr="007C3FF5">
        <w:rPr>
          <w:rFonts w:ascii="Times New Roman" w:hAnsi="Times New Roman"/>
          <w:color w:val="000000"/>
        </w:rPr>
        <w:t xml:space="preserve"> ha</w:t>
      </w:r>
      <w:r w:rsidRPr="007C3FF5">
        <w:rPr>
          <w:rFonts w:ascii="Times New Roman" w:hAnsi="Times New Roman"/>
          <w:color w:val="000000"/>
        </w:rPr>
        <w:t>ve been made</w:t>
      </w:r>
      <w:r w:rsidR="001C5A54" w:rsidRPr="007C3FF5">
        <w:rPr>
          <w:rFonts w:ascii="Times New Roman" w:hAnsi="Times New Roman"/>
          <w:color w:val="000000"/>
        </w:rPr>
        <w:t>, the final adjustments to bring t</w:t>
      </w:r>
      <w:r w:rsidR="001C5A54" w:rsidRPr="007C3FF5">
        <w:rPr>
          <w:rFonts w:ascii="Times New Roman" w:hAnsi="Times New Roman" w:cs="Times New Roman"/>
        </w:rPr>
        <w:t xml:space="preserve">he table fully into balance can be carried out automatically through an iterative proportional fitting method known as the </w:t>
      </w:r>
      <w:r w:rsidR="0069684B" w:rsidRPr="007C3FF5">
        <w:rPr>
          <w:rFonts w:ascii="Times New Roman" w:hAnsi="Times New Roman" w:cs="Times New Roman"/>
        </w:rPr>
        <w:t>RAS</w:t>
      </w:r>
      <w:r w:rsidR="001C5A54" w:rsidRPr="007C3FF5">
        <w:rPr>
          <w:rFonts w:ascii="Times New Roman" w:hAnsi="Times New Roman" w:cs="Times New Roman"/>
        </w:rPr>
        <w:t xml:space="preserve"> procedure (See </w:t>
      </w:r>
      <w:r w:rsidR="001C5A54" w:rsidRPr="007C3FF5">
        <w:rPr>
          <w:rFonts w:ascii="Times New Roman" w:hAnsi="Times New Roman" w:cs="Times New Roman"/>
          <w:color w:val="31319A"/>
          <w:u w:val="single"/>
        </w:rPr>
        <w:t xml:space="preserve">Eurostat Manual of Supply, Use and Input-Output Tables </w:t>
      </w:r>
      <w:r w:rsidR="001C5A54" w:rsidRPr="007C3FF5">
        <w:rPr>
          <w:rFonts w:ascii="Times New Roman" w:hAnsi="Times New Roman" w:cs="Times New Roman"/>
        </w:rPr>
        <w:t xml:space="preserve">p 222 for details). </w:t>
      </w:r>
      <w:r w:rsidR="009864E2" w:rsidRPr="007C3FF5">
        <w:rPr>
          <w:rFonts w:ascii="Times New Roman" w:hAnsi="Times New Roman" w:cs="Times New Roman"/>
        </w:rPr>
        <w:t xml:space="preserve">  </w:t>
      </w:r>
    </w:p>
    <w:p w:rsidR="00EB2735" w:rsidRPr="007C3FF5" w:rsidRDefault="00EB2735" w:rsidP="001072D6">
      <w:pPr>
        <w:autoSpaceDE w:val="0"/>
        <w:autoSpaceDN w:val="0"/>
        <w:adjustRightInd w:val="0"/>
        <w:spacing w:after="180"/>
        <w:rPr>
          <w:rFonts w:ascii="Times New Roman" w:hAnsi="Times New Roman"/>
          <w:b/>
          <w:color w:val="403152" w:themeColor="accent4" w:themeShade="80"/>
        </w:rPr>
      </w:pPr>
    </w:p>
    <w:p w:rsidR="001072D6" w:rsidRPr="007C3FF5" w:rsidRDefault="001072D6">
      <w:pPr>
        <w:rPr>
          <w:rFonts w:ascii="Times New Roman" w:eastAsiaTheme="majorEastAsia" w:hAnsi="Times New Roman" w:cs="Times New Roman"/>
          <w:b/>
          <w:bCs/>
          <w:color w:val="4F81BD" w:themeColor="accent1"/>
          <w:lang w:bidi="ar-SA"/>
        </w:rPr>
      </w:pPr>
      <w:bookmarkStart w:id="46" w:name="_Toc383010512"/>
      <w:r w:rsidRPr="007C3FF5">
        <w:rPr>
          <w:rFonts w:ascii="Times New Roman" w:hAnsi="Times New Roman" w:cs="Times New Roman"/>
          <w:lang w:bidi="ar-SA"/>
        </w:rPr>
        <w:br w:type="page"/>
      </w:r>
    </w:p>
    <w:p w:rsidR="00EB2735" w:rsidRPr="007C3FF5" w:rsidRDefault="00EB2735" w:rsidP="001072D6">
      <w:pPr>
        <w:pStyle w:val="Heading3"/>
        <w:rPr>
          <w:rFonts w:ascii="Times New Roman" w:hAnsi="Times New Roman" w:cs="Times New Roman"/>
          <w:lang w:bidi="ar-SA"/>
        </w:rPr>
      </w:pPr>
      <w:r w:rsidRPr="007C3FF5">
        <w:rPr>
          <w:rFonts w:ascii="Times New Roman" w:hAnsi="Times New Roman" w:cs="Times New Roman"/>
          <w:lang w:bidi="ar-SA"/>
        </w:rPr>
        <w:t>Balancing the Northern Ireland SUT</w:t>
      </w:r>
      <w:bookmarkEnd w:id="46"/>
    </w:p>
    <w:p w:rsidR="00D22062" w:rsidRPr="007C3FF5" w:rsidRDefault="00D22062" w:rsidP="001072D6">
      <w:pPr>
        <w:pStyle w:val="NoSpacing"/>
        <w:keepNext/>
        <w:spacing w:line="276" w:lineRule="auto"/>
        <w:ind w:left="426"/>
        <w:jc w:val="both"/>
        <w:rPr>
          <w:rFonts w:ascii="Times New Roman" w:hAnsi="Times New Roman"/>
          <w:color w:val="000000"/>
        </w:rPr>
      </w:pPr>
    </w:p>
    <w:p w:rsidR="00F4531C" w:rsidRPr="007C3FF5" w:rsidRDefault="00210A9F" w:rsidP="001072D6">
      <w:pPr>
        <w:pStyle w:val="NoSpacing"/>
        <w:keepNext/>
        <w:spacing w:line="276" w:lineRule="auto"/>
        <w:ind w:left="426"/>
        <w:jc w:val="both"/>
        <w:rPr>
          <w:rFonts w:ascii="Times New Roman" w:hAnsi="Times New Roman"/>
          <w:color w:val="000000"/>
        </w:rPr>
      </w:pPr>
      <w:r w:rsidRPr="007C3FF5">
        <w:rPr>
          <w:rFonts w:ascii="Times New Roman" w:hAnsi="Times New Roman"/>
          <w:color w:val="000000"/>
        </w:rPr>
        <w:t>I</w:t>
      </w:r>
      <w:r w:rsidR="00F4531C" w:rsidRPr="007C3FF5">
        <w:rPr>
          <w:rFonts w:ascii="Times New Roman" w:hAnsi="Times New Roman"/>
          <w:color w:val="000000"/>
        </w:rPr>
        <w:t xml:space="preserve">nitial estimates of the </w:t>
      </w:r>
      <w:r w:rsidRPr="007C3FF5">
        <w:rPr>
          <w:rFonts w:ascii="Times New Roman" w:hAnsi="Times New Roman"/>
          <w:color w:val="000000"/>
        </w:rPr>
        <w:t xml:space="preserve">NI </w:t>
      </w:r>
      <w:r w:rsidR="00F4531C" w:rsidRPr="007C3FF5">
        <w:rPr>
          <w:rFonts w:ascii="Times New Roman" w:hAnsi="Times New Roman"/>
          <w:color w:val="000000"/>
        </w:rPr>
        <w:t>supply and combined use matrices were compiled as described in earlier sections.  At this point industry output at basic prices in both the initial Supply and Use tables were equal. However, because a range of different data sources and assumption had been used in the different parts of the Supply and Use tables, initially the product balance did not hold.</w:t>
      </w:r>
    </w:p>
    <w:p w:rsidR="00210A9F" w:rsidRPr="007C3FF5" w:rsidRDefault="009362BE" w:rsidP="001072D6">
      <w:pPr>
        <w:pStyle w:val="NoSpacing"/>
        <w:keepNext/>
        <w:spacing w:line="276" w:lineRule="auto"/>
        <w:ind w:left="426"/>
        <w:jc w:val="both"/>
        <w:rPr>
          <w:rFonts w:ascii="Times New Roman" w:hAnsi="Times New Roman"/>
          <w:color w:val="000000"/>
        </w:rPr>
      </w:pPr>
      <w:r w:rsidRPr="007C3FF5">
        <w:rPr>
          <w:rFonts w:ascii="Times New Roman" w:hAnsi="Times New Roman"/>
          <w:color w:val="000000"/>
        </w:rPr>
        <w:t xml:space="preserve">For the purpose of the </w:t>
      </w:r>
      <w:r w:rsidR="00AC655A" w:rsidRPr="007C3FF5">
        <w:rPr>
          <w:rFonts w:ascii="Times New Roman" w:hAnsi="Times New Roman"/>
          <w:color w:val="000000"/>
        </w:rPr>
        <w:t xml:space="preserve">Northern Ireland </w:t>
      </w:r>
      <w:r w:rsidRPr="007C3FF5">
        <w:rPr>
          <w:rFonts w:ascii="Times New Roman" w:hAnsi="Times New Roman"/>
          <w:color w:val="000000"/>
        </w:rPr>
        <w:t xml:space="preserve">trial balance, </w:t>
      </w:r>
      <w:r w:rsidR="00F4531C" w:rsidRPr="007C3FF5">
        <w:rPr>
          <w:rFonts w:ascii="Times New Roman" w:hAnsi="Times New Roman"/>
          <w:color w:val="000000"/>
        </w:rPr>
        <w:t>no</w:t>
      </w:r>
      <w:r w:rsidR="00AC655A" w:rsidRPr="007C3FF5">
        <w:rPr>
          <w:rFonts w:ascii="Times New Roman" w:hAnsi="Times New Roman"/>
          <w:color w:val="000000"/>
        </w:rPr>
        <w:t xml:space="preserve"> </w:t>
      </w:r>
      <w:r w:rsidR="00B55CEB" w:rsidRPr="007C3FF5">
        <w:rPr>
          <w:rFonts w:ascii="Times New Roman" w:hAnsi="Times New Roman"/>
          <w:color w:val="000000"/>
        </w:rPr>
        <w:t xml:space="preserve">manual </w:t>
      </w:r>
      <w:r w:rsidR="00AC655A" w:rsidRPr="007C3FF5">
        <w:rPr>
          <w:rFonts w:ascii="Times New Roman" w:hAnsi="Times New Roman"/>
          <w:color w:val="000000"/>
        </w:rPr>
        <w:t xml:space="preserve">adjustments were made.  The </w:t>
      </w:r>
      <w:r w:rsidR="00210A9F" w:rsidRPr="007C3FF5">
        <w:rPr>
          <w:rFonts w:ascii="Times New Roman" w:hAnsi="Times New Roman"/>
          <w:color w:val="000000"/>
        </w:rPr>
        <w:t xml:space="preserve">balancing was done entirely using the </w:t>
      </w:r>
      <w:r w:rsidR="00AC655A" w:rsidRPr="007C3FF5">
        <w:rPr>
          <w:rFonts w:ascii="Times New Roman" w:hAnsi="Times New Roman"/>
          <w:color w:val="000000"/>
        </w:rPr>
        <w:t xml:space="preserve">RAS </w:t>
      </w:r>
      <w:r w:rsidR="009864E2" w:rsidRPr="007C3FF5">
        <w:rPr>
          <w:rFonts w:ascii="Times New Roman" w:hAnsi="Times New Roman"/>
          <w:color w:val="000000"/>
        </w:rPr>
        <w:t>automatic process</w:t>
      </w:r>
      <w:r w:rsidR="00210A9F" w:rsidRPr="007C3FF5">
        <w:rPr>
          <w:rFonts w:ascii="Times New Roman" w:hAnsi="Times New Roman"/>
          <w:color w:val="000000"/>
        </w:rPr>
        <w:t>.  Under this procedure, as applied for Northern Ireland, the product and industry totals from the Supply Table were held fixed.  The rows of the Use Table were scaled one by one so that the product imbalance was removed.  This then introduced an imbalance in the industry identity, which was removed by scaling the columns of the Use Table to match total output at basic prices calculated in the Supply Table.  The procedure was then repeated, with alternate scaling of rows and columns, until a full balance was achieved.</w:t>
      </w:r>
    </w:p>
    <w:p w:rsidR="00D22062" w:rsidRPr="007C3FF5" w:rsidRDefault="00D22062" w:rsidP="001072D6">
      <w:pPr>
        <w:pStyle w:val="NoSpacing"/>
        <w:spacing w:line="276" w:lineRule="auto"/>
        <w:ind w:left="426"/>
        <w:jc w:val="both"/>
        <w:rPr>
          <w:rFonts w:ascii="Times New Roman" w:hAnsi="Times New Roman"/>
          <w:color w:val="000000"/>
        </w:rPr>
      </w:pPr>
    </w:p>
    <w:p w:rsidR="00BB29E4" w:rsidRPr="007C3FF5" w:rsidRDefault="00B55CEB" w:rsidP="00D22062">
      <w:pPr>
        <w:pStyle w:val="NoSpacing"/>
        <w:spacing w:line="276" w:lineRule="auto"/>
        <w:ind w:left="426"/>
        <w:jc w:val="both"/>
        <w:rPr>
          <w:rFonts w:ascii="Times New Roman" w:hAnsi="Times New Roman"/>
          <w:color w:val="000000"/>
        </w:rPr>
      </w:pPr>
      <w:r w:rsidRPr="007C3FF5">
        <w:rPr>
          <w:rFonts w:ascii="Times New Roman" w:hAnsi="Times New Roman"/>
          <w:color w:val="000000"/>
        </w:rPr>
        <w:t>Wh</w:t>
      </w:r>
      <w:r w:rsidR="00076487" w:rsidRPr="007C3FF5">
        <w:rPr>
          <w:rFonts w:ascii="Times New Roman" w:hAnsi="Times New Roman"/>
          <w:color w:val="000000"/>
        </w:rPr>
        <w:t>ile doing this, the GVA estimates by industry derived from the Regional Accounts were not adjusted, so as to ensure consistency with the published figures.</w:t>
      </w:r>
    </w:p>
    <w:p w:rsidR="00D22062" w:rsidRPr="007C3FF5" w:rsidRDefault="00D22062" w:rsidP="00D22062">
      <w:pPr>
        <w:pStyle w:val="NoSpacing"/>
        <w:spacing w:line="276" w:lineRule="auto"/>
        <w:ind w:left="426"/>
        <w:jc w:val="both"/>
        <w:rPr>
          <w:rFonts w:ascii="Times New Roman" w:hAnsi="Times New Roman"/>
          <w:color w:val="000000"/>
        </w:rPr>
      </w:pPr>
    </w:p>
    <w:p w:rsidR="00576B55" w:rsidRPr="007C3FF5" w:rsidRDefault="00576B55" w:rsidP="001631FE">
      <w:pPr>
        <w:pStyle w:val="Default"/>
        <w:spacing w:after="180"/>
        <w:rPr>
          <w:rFonts w:ascii="Times New Roman" w:hAnsi="Times New Roman" w:cs="Times New Roman"/>
          <w:b/>
          <w:sz w:val="22"/>
          <w:szCs w:val="22"/>
        </w:rPr>
      </w:pPr>
    </w:p>
    <w:p w:rsidR="00576B55" w:rsidRPr="007C3FF5" w:rsidRDefault="00576B55" w:rsidP="001631FE">
      <w:pPr>
        <w:pStyle w:val="Default"/>
        <w:spacing w:after="180"/>
        <w:rPr>
          <w:rFonts w:ascii="Times New Roman" w:hAnsi="Times New Roman" w:cs="Times New Roman"/>
          <w:b/>
          <w:sz w:val="22"/>
          <w:szCs w:val="22"/>
        </w:rPr>
      </w:pPr>
    </w:p>
    <w:p w:rsidR="00576B55" w:rsidRPr="007C3FF5" w:rsidRDefault="00576B55" w:rsidP="001631FE">
      <w:pPr>
        <w:pStyle w:val="Default"/>
        <w:spacing w:after="180"/>
        <w:rPr>
          <w:rFonts w:ascii="Times New Roman" w:hAnsi="Times New Roman" w:cs="Times New Roman"/>
          <w:b/>
          <w:sz w:val="22"/>
          <w:szCs w:val="22"/>
        </w:rPr>
        <w:sectPr w:rsidR="00576B55" w:rsidRPr="007C3FF5" w:rsidSect="00B518B5">
          <w:pgSz w:w="11906" w:h="16838"/>
          <w:pgMar w:top="1440" w:right="1440" w:bottom="1440" w:left="1440" w:header="709" w:footer="709" w:gutter="0"/>
          <w:cols w:space="708"/>
          <w:docGrid w:linePitch="360"/>
        </w:sectPr>
      </w:pPr>
    </w:p>
    <w:p w:rsidR="00076487" w:rsidRPr="007C3FF5" w:rsidRDefault="00076487" w:rsidP="00576B55">
      <w:pPr>
        <w:pStyle w:val="Heading1"/>
        <w:rPr>
          <w:lang w:bidi="ar-SA"/>
        </w:rPr>
      </w:pPr>
      <w:bookmarkStart w:id="47" w:name="_Toc383010513"/>
      <w:r w:rsidRPr="007C3FF5">
        <w:rPr>
          <w:lang w:bidi="ar-SA"/>
        </w:rPr>
        <w:t xml:space="preserve">Conclusions and </w:t>
      </w:r>
      <w:r w:rsidR="00B213FF" w:rsidRPr="007C3FF5">
        <w:rPr>
          <w:lang w:bidi="ar-SA"/>
        </w:rPr>
        <w:t>next steps</w:t>
      </w:r>
      <w:bookmarkEnd w:id="47"/>
    </w:p>
    <w:p w:rsidR="00576B55" w:rsidRPr="007C3FF5" w:rsidRDefault="00576B55" w:rsidP="00576B55">
      <w:pPr>
        <w:pStyle w:val="NoSpacing"/>
        <w:spacing w:line="276" w:lineRule="auto"/>
        <w:ind w:left="426"/>
        <w:jc w:val="both"/>
        <w:rPr>
          <w:rFonts w:ascii="Times New Roman" w:hAnsi="Times New Roman"/>
          <w:color w:val="000000"/>
        </w:rPr>
      </w:pPr>
    </w:p>
    <w:p w:rsidR="00576B55" w:rsidRPr="007C3FF5" w:rsidRDefault="00576B55" w:rsidP="00576B55">
      <w:pPr>
        <w:pStyle w:val="Heading2"/>
        <w:ind w:left="426"/>
        <w:rPr>
          <w:rFonts w:ascii="Times New Roman" w:hAnsi="Times New Roman" w:cs="Times New Roman"/>
          <w:lang w:bidi="ar-SA"/>
        </w:rPr>
      </w:pPr>
      <w:bookmarkStart w:id="48" w:name="_Toc383010514"/>
      <w:r w:rsidRPr="007C3FF5">
        <w:rPr>
          <w:rFonts w:ascii="Times New Roman" w:hAnsi="Times New Roman" w:cs="Times New Roman"/>
          <w:lang w:bidi="ar-SA"/>
        </w:rPr>
        <w:t>Conclusion</w:t>
      </w:r>
      <w:r w:rsidR="00B213FF" w:rsidRPr="007C3FF5">
        <w:rPr>
          <w:rFonts w:ascii="Times New Roman" w:hAnsi="Times New Roman" w:cs="Times New Roman"/>
          <w:lang w:bidi="ar-SA"/>
        </w:rPr>
        <w:t>s</w:t>
      </w:r>
      <w:bookmarkEnd w:id="48"/>
    </w:p>
    <w:p w:rsidR="00576B55" w:rsidRPr="007C3FF5" w:rsidRDefault="00576B55" w:rsidP="00576B55">
      <w:pPr>
        <w:pStyle w:val="NoSpacing"/>
        <w:spacing w:line="276" w:lineRule="auto"/>
        <w:ind w:left="426"/>
        <w:jc w:val="both"/>
        <w:rPr>
          <w:rFonts w:ascii="Times New Roman" w:hAnsi="Times New Roman"/>
          <w:color w:val="000000"/>
        </w:rPr>
      </w:pPr>
    </w:p>
    <w:p w:rsidR="00576B55" w:rsidRPr="007C3FF5" w:rsidRDefault="00576B55" w:rsidP="00576B55">
      <w:pPr>
        <w:pStyle w:val="NoSpacing"/>
        <w:spacing w:line="276" w:lineRule="auto"/>
        <w:ind w:left="426"/>
        <w:jc w:val="both"/>
        <w:rPr>
          <w:rFonts w:ascii="Times New Roman" w:hAnsi="Times New Roman"/>
          <w:color w:val="000000"/>
        </w:rPr>
      </w:pPr>
      <w:r w:rsidRPr="007C3FF5">
        <w:rPr>
          <w:rFonts w:ascii="Times New Roman" w:hAnsi="Times New Roman"/>
          <w:color w:val="000000"/>
        </w:rPr>
        <w:t>It was possible to create a</w:t>
      </w:r>
      <w:r w:rsidR="00544C49" w:rsidRPr="007C3FF5">
        <w:rPr>
          <w:rFonts w:ascii="Times New Roman" w:hAnsi="Times New Roman"/>
          <w:color w:val="000000"/>
        </w:rPr>
        <w:t>n initial</w:t>
      </w:r>
      <w:r w:rsidRPr="007C3FF5">
        <w:rPr>
          <w:rFonts w:ascii="Times New Roman" w:hAnsi="Times New Roman"/>
          <w:color w:val="000000"/>
        </w:rPr>
        <w:t xml:space="preserve"> trial balance or Northern Ireland for </w:t>
      </w:r>
      <w:r w:rsidR="00225BB1" w:rsidRPr="007C3FF5">
        <w:rPr>
          <w:rFonts w:ascii="Times New Roman" w:hAnsi="Times New Roman"/>
          <w:color w:val="000000"/>
        </w:rPr>
        <w:t>2010;</w:t>
      </w:r>
      <w:r w:rsidRPr="007C3FF5">
        <w:rPr>
          <w:rFonts w:ascii="Times New Roman" w:hAnsi="Times New Roman"/>
          <w:color w:val="000000"/>
        </w:rPr>
        <w:t xml:space="preserve"> however it should be noted that the Northern Ireland results are indicative and should be treated with caution. There is a considerable amount of estimation involved in producing these figures and they have not been subjected to the rigorous quality assurance processes involved in compiling the UK SUT, such as those required for manual balancing adjustments. </w:t>
      </w:r>
      <w:r w:rsidR="00544C49" w:rsidRPr="007C3FF5">
        <w:rPr>
          <w:rFonts w:ascii="Times New Roman" w:hAnsi="Times New Roman"/>
          <w:color w:val="000000"/>
        </w:rPr>
        <w:t xml:space="preserve">Without such additional work initial results could potentially be misleading. </w:t>
      </w:r>
    </w:p>
    <w:p w:rsidR="00990882" w:rsidRPr="007C3FF5" w:rsidRDefault="00990882" w:rsidP="00576B55">
      <w:pPr>
        <w:pStyle w:val="NoSpacing"/>
        <w:spacing w:line="276" w:lineRule="auto"/>
        <w:ind w:left="426"/>
        <w:jc w:val="both"/>
        <w:rPr>
          <w:rFonts w:ascii="Times New Roman" w:hAnsi="Times New Roman"/>
          <w:color w:val="000000"/>
        </w:rPr>
      </w:pPr>
    </w:p>
    <w:p w:rsidR="00990882" w:rsidRPr="007C3FF5" w:rsidRDefault="00990882" w:rsidP="00576B55">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SUT information has been made available to an expert group of users including academics, economic commentators and consultants for their detailed consideration. The minutes of these meetings can be found at our </w:t>
      </w:r>
      <w:hyperlink r:id="rId21" w:history="1">
        <w:r w:rsidRPr="007C3FF5">
          <w:rPr>
            <w:rStyle w:val="Hyperlink"/>
            <w:rFonts w:ascii="Times New Roman" w:hAnsi="Times New Roman"/>
          </w:rPr>
          <w:t>user consultation and information webpage</w:t>
        </w:r>
      </w:hyperlink>
      <w:r w:rsidRPr="007C3FF5">
        <w:rPr>
          <w:rFonts w:ascii="Times New Roman" w:hAnsi="Times New Roman"/>
          <w:color w:val="000000"/>
        </w:rPr>
        <w:t xml:space="preserve">.  </w:t>
      </w:r>
    </w:p>
    <w:p w:rsidR="00576B55" w:rsidRPr="007C3FF5" w:rsidRDefault="00576B55" w:rsidP="00576B55">
      <w:pPr>
        <w:pStyle w:val="NoSpacing"/>
        <w:spacing w:line="276" w:lineRule="auto"/>
        <w:ind w:left="426"/>
        <w:jc w:val="both"/>
        <w:rPr>
          <w:rFonts w:ascii="Times New Roman" w:hAnsi="Times New Roman"/>
          <w:color w:val="000000"/>
        </w:rPr>
      </w:pPr>
    </w:p>
    <w:p w:rsidR="00661050" w:rsidRPr="007C3FF5" w:rsidRDefault="00661050" w:rsidP="00576B55">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It was the view of the expert user group that the development of the NI SUTs has still some way to go before it would be appropriate to publish any estimates. NISRA have accepted this recommendation. </w:t>
      </w:r>
    </w:p>
    <w:p w:rsidR="00661050" w:rsidRPr="007C3FF5" w:rsidRDefault="00661050" w:rsidP="00576B55">
      <w:pPr>
        <w:pStyle w:val="NoSpacing"/>
        <w:spacing w:line="276" w:lineRule="auto"/>
        <w:ind w:left="426"/>
        <w:jc w:val="both"/>
        <w:rPr>
          <w:rFonts w:ascii="Times New Roman" w:hAnsi="Times New Roman"/>
          <w:color w:val="000000"/>
        </w:rPr>
      </w:pPr>
    </w:p>
    <w:p w:rsidR="001C600D" w:rsidRPr="007C3FF5" w:rsidRDefault="001C600D" w:rsidP="00576B55">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process of compiling a trial balance for Northern Ireland has helped to identify </w:t>
      </w:r>
      <w:r w:rsidR="003D2237" w:rsidRPr="007C3FF5">
        <w:rPr>
          <w:rFonts w:ascii="Times New Roman" w:hAnsi="Times New Roman"/>
          <w:color w:val="000000"/>
        </w:rPr>
        <w:t>several</w:t>
      </w:r>
      <w:r w:rsidRPr="007C3FF5">
        <w:rPr>
          <w:rFonts w:ascii="Times New Roman" w:hAnsi="Times New Roman"/>
          <w:color w:val="000000"/>
        </w:rPr>
        <w:t xml:space="preserve"> data sources that can be used to populate parts of the table.  It has also identified areas of weakness, including in particular:</w:t>
      </w:r>
    </w:p>
    <w:p w:rsidR="00225BB1" w:rsidRPr="007C3FF5" w:rsidRDefault="00225BB1" w:rsidP="00576B55">
      <w:pPr>
        <w:pStyle w:val="NoSpacing"/>
        <w:spacing w:line="276" w:lineRule="auto"/>
        <w:ind w:left="426"/>
        <w:jc w:val="both"/>
        <w:rPr>
          <w:rFonts w:ascii="Times New Roman" w:hAnsi="Times New Roman"/>
          <w:color w:val="000000"/>
        </w:rPr>
      </w:pPr>
    </w:p>
    <w:p w:rsidR="00080CD4" w:rsidRPr="007C3FF5" w:rsidRDefault="00080CD4"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The product split for intermediate consumption</w:t>
      </w:r>
      <w:r w:rsidR="00225BB1" w:rsidRPr="007C3FF5">
        <w:rPr>
          <w:rFonts w:ascii="Times New Roman" w:hAnsi="Times New Roman"/>
          <w:color w:val="000000"/>
          <w:lang w:eastAsia="en-GB" w:bidi="ar-SA"/>
        </w:rPr>
        <w:t>;</w:t>
      </w:r>
    </w:p>
    <w:p w:rsidR="00080CD4" w:rsidRPr="007C3FF5" w:rsidRDefault="00080CD4"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International trade in services, particularly imports</w:t>
      </w:r>
      <w:r w:rsidR="00225BB1" w:rsidRPr="007C3FF5">
        <w:rPr>
          <w:rFonts w:ascii="Times New Roman" w:hAnsi="Times New Roman"/>
          <w:color w:val="000000"/>
          <w:lang w:eastAsia="en-GB" w:bidi="ar-SA"/>
        </w:rPr>
        <w:t>;</w:t>
      </w:r>
    </w:p>
    <w:p w:rsidR="00080CD4" w:rsidRPr="007C3FF5" w:rsidRDefault="00080CD4"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Trade with Great Britain</w:t>
      </w:r>
      <w:r w:rsidR="00225BB1" w:rsidRPr="007C3FF5">
        <w:rPr>
          <w:rFonts w:ascii="Times New Roman" w:hAnsi="Times New Roman"/>
          <w:color w:val="000000"/>
          <w:lang w:eastAsia="en-GB" w:bidi="ar-SA"/>
        </w:rPr>
        <w:t>;</w:t>
      </w:r>
    </w:p>
    <w:p w:rsidR="001C600D" w:rsidRPr="007C3FF5" w:rsidRDefault="001C600D"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Measures</w:t>
      </w:r>
      <w:r w:rsidR="003D2237" w:rsidRPr="007C3FF5">
        <w:rPr>
          <w:rFonts w:ascii="Times New Roman" w:hAnsi="Times New Roman"/>
          <w:color w:val="000000"/>
          <w:lang w:eastAsia="en-GB" w:bidi="ar-SA"/>
        </w:rPr>
        <w:t xml:space="preserve"> of the output of the financial and insurance sectors, and consumption of their primary products</w:t>
      </w:r>
      <w:r w:rsidR="00225BB1" w:rsidRPr="007C3FF5">
        <w:rPr>
          <w:rFonts w:ascii="Times New Roman" w:hAnsi="Times New Roman"/>
          <w:color w:val="000000"/>
          <w:lang w:eastAsia="en-GB" w:bidi="ar-SA"/>
        </w:rPr>
        <w:t>;</w:t>
      </w:r>
    </w:p>
    <w:p w:rsidR="00962329" w:rsidRPr="007C3FF5" w:rsidRDefault="00962329"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Estimates of household final consumption from t</w:t>
      </w:r>
      <w:r w:rsidR="00225BB1" w:rsidRPr="007C3FF5">
        <w:rPr>
          <w:rFonts w:ascii="Times New Roman" w:hAnsi="Times New Roman"/>
          <w:color w:val="000000"/>
          <w:lang w:eastAsia="en-GB" w:bidi="ar-SA"/>
        </w:rPr>
        <w:t>he Living Costs and Food Survey; and</w:t>
      </w:r>
    </w:p>
    <w:p w:rsidR="00467784" w:rsidRPr="007C3FF5" w:rsidRDefault="00467784"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Inputs and outputs of the charitable sector</w:t>
      </w:r>
      <w:r w:rsidR="00225BB1" w:rsidRPr="007C3FF5">
        <w:rPr>
          <w:rFonts w:ascii="Times New Roman" w:hAnsi="Times New Roman"/>
          <w:color w:val="000000"/>
          <w:lang w:eastAsia="en-GB" w:bidi="ar-SA"/>
        </w:rPr>
        <w:t>.</w:t>
      </w:r>
    </w:p>
    <w:p w:rsidR="00225BB1" w:rsidRPr="007C3FF5" w:rsidRDefault="00225BB1" w:rsidP="00225BB1">
      <w:pPr>
        <w:pStyle w:val="NoSpacing"/>
        <w:spacing w:line="276" w:lineRule="auto"/>
        <w:ind w:left="426"/>
        <w:jc w:val="both"/>
        <w:rPr>
          <w:rFonts w:ascii="Times New Roman" w:hAnsi="Times New Roman"/>
          <w:color w:val="000000"/>
        </w:rPr>
      </w:pPr>
    </w:p>
    <w:p w:rsidR="00225BB1" w:rsidRPr="007C3FF5" w:rsidRDefault="00080CD4"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w:t>
      </w:r>
      <w:r w:rsidR="003D2237" w:rsidRPr="007C3FF5">
        <w:rPr>
          <w:rFonts w:ascii="Times New Roman" w:hAnsi="Times New Roman"/>
          <w:color w:val="000000"/>
        </w:rPr>
        <w:t xml:space="preserve">intermediate consumption matrix is a key part of the accounts.  </w:t>
      </w:r>
      <w:r w:rsidR="00467784" w:rsidRPr="007C3FF5">
        <w:rPr>
          <w:rFonts w:ascii="Times New Roman" w:hAnsi="Times New Roman"/>
          <w:color w:val="000000"/>
        </w:rPr>
        <w:t xml:space="preserve">Historically, information on purchases of goods and services has been obtained from the Purchases Inquiry, but the most recent of these was run several years ago and </w:t>
      </w:r>
      <w:r w:rsidR="000C0CA7" w:rsidRPr="007C3FF5">
        <w:rPr>
          <w:rFonts w:ascii="Times New Roman" w:hAnsi="Times New Roman"/>
          <w:color w:val="000000"/>
        </w:rPr>
        <w:t>there is no firm date for the next one.</w:t>
      </w:r>
      <w:r w:rsidR="00467784" w:rsidRPr="007C3FF5">
        <w:rPr>
          <w:rFonts w:ascii="Times New Roman" w:hAnsi="Times New Roman"/>
          <w:color w:val="000000"/>
        </w:rPr>
        <w:t xml:space="preserve"> </w:t>
      </w:r>
      <w:r w:rsidR="00E36252" w:rsidRPr="007C3FF5">
        <w:rPr>
          <w:rFonts w:ascii="Times New Roman" w:hAnsi="Times New Roman"/>
          <w:color w:val="000000"/>
        </w:rPr>
        <w:t>E</w:t>
      </w:r>
      <w:r w:rsidR="003D2237" w:rsidRPr="007C3FF5">
        <w:rPr>
          <w:rFonts w:ascii="Times New Roman" w:hAnsi="Times New Roman"/>
          <w:color w:val="000000"/>
        </w:rPr>
        <w:t xml:space="preserve">rrors in the apportionment of products </w:t>
      </w:r>
      <w:r w:rsidR="00634A5E" w:rsidRPr="007C3FF5">
        <w:rPr>
          <w:rFonts w:ascii="Times New Roman" w:hAnsi="Times New Roman"/>
          <w:color w:val="000000"/>
        </w:rPr>
        <w:t>can have a significant</w:t>
      </w:r>
      <w:r w:rsidR="003D2237" w:rsidRPr="007C3FF5">
        <w:rPr>
          <w:rFonts w:ascii="Times New Roman" w:hAnsi="Times New Roman"/>
          <w:color w:val="000000"/>
        </w:rPr>
        <w:t xml:space="preserve"> impact on the product balance.  This is less of an issue for the Supply matrix because most industries mainly produce their primary products,</w:t>
      </w:r>
      <w:r w:rsidR="00467784" w:rsidRPr="007C3FF5">
        <w:rPr>
          <w:rFonts w:ascii="Times New Roman" w:hAnsi="Times New Roman"/>
          <w:color w:val="000000"/>
        </w:rPr>
        <w:t xml:space="preserve"> and there is a good source for output by industry in the shape of the Annual Business </w:t>
      </w:r>
      <w:r w:rsidR="004E7FE6" w:rsidRPr="007C3FF5">
        <w:rPr>
          <w:rFonts w:ascii="Times New Roman" w:hAnsi="Times New Roman"/>
          <w:color w:val="000000"/>
        </w:rPr>
        <w:t>Inquiry</w:t>
      </w:r>
      <w:r w:rsidR="00467784" w:rsidRPr="007C3FF5">
        <w:rPr>
          <w:rFonts w:ascii="Times New Roman" w:hAnsi="Times New Roman"/>
          <w:color w:val="000000"/>
        </w:rPr>
        <w:t>.</w:t>
      </w:r>
      <w:r w:rsidR="003D2237" w:rsidRPr="007C3FF5">
        <w:rPr>
          <w:rFonts w:ascii="Times New Roman" w:hAnsi="Times New Roman"/>
          <w:color w:val="000000"/>
        </w:rPr>
        <w:t xml:space="preserve"> </w:t>
      </w:r>
      <w:r w:rsidR="00467784" w:rsidRPr="007C3FF5">
        <w:rPr>
          <w:rFonts w:ascii="Times New Roman" w:hAnsi="Times New Roman"/>
          <w:color w:val="000000"/>
        </w:rPr>
        <w:t xml:space="preserve"> However,</w:t>
      </w:r>
      <w:r w:rsidR="003D2237" w:rsidRPr="007C3FF5">
        <w:rPr>
          <w:rFonts w:ascii="Times New Roman" w:hAnsi="Times New Roman"/>
          <w:color w:val="000000"/>
        </w:rPr>
        <w:t xml:space="preserve"> there is a much greater spread of products </w:t>
      </w:r>
      <w:r w:rsidR="000F16E9" w:rsidRPr="007C3FF5">
        <w:rPr>
          <w:rFonts w:ascii="Times New Roman" w:hAnsi="Times New Roman"/>
          <w:color w:val="000000"/>
        </w:rPr>
        <w:t>used</w:t>
      </w:r>
      <w:r w:rsidR="003D2237" w:rsidRPr="007C3FF5">
        <w:rPr>
          <w:rFonts w:ascii="Times New Roman" w:hAnsi="Times New Roman"/>
          <w:color w:val="000000"/>
        </w:rPr>
        <w:t xml:space="preserve"> as inputs to the production process.  </w:t>
      </w:r>
    </w:p>
    <w:p w:rsidR="00225BB1" w:rsidRPr="007C3FF5" w:rsidRDefault="00225BB1" w:rsidP="00225BB1">
      <w:pPr>
        <w:pStyle w:val="NoSpacing"/>
        <w:spacing w:line="276" w:lineRule="auto"/>
        <w:ind w:left="426"/>
        <w:jc w:val="both"/>
        <w:rPr>
          <w:rFonts w:ascii="Times New Roman" w:hAnsi="Times New Roman"/>
          <w:color w:val="000000"/>
        </w:rPr>
      </w:pPr>
    </w:p>
    <w:p w:rsidR="00467784" w:rsidRPr="007C3FF5" w:rsidRDefault="00962329"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It is recommended that NISRA give consideration to undertaking a Northern Ireland version of the Purchases Inquiry at the same time as the new ONS survey. </w:t>
      </w:r>
    </w:p>
    <w:p w:rsidR="00225BB1" w:rsidRPr="007C3FF5" w:rsidRDefault="00225BB1" w:rsidP="00225BB1">
      <w:pPr>
        <w:pStyle w:val="NoSpacing"/>
        <w:spacing w:line="276" w:lineRule="auto"/>
        <w:ind w:left="426"/>
        <w:jc w:val="both"/>
        <w:rPr>
          <w:rFonts w:ascii="Times New Roman" w:hAnsi="Times New Roman"/>
          <w:color w:val="000000"/>
        </w:rPr>
      </w:pPr>
    </w:p>
    <w:p w:rsidR="00491C53" w:rsidRPr="007C3FF5" w:rsidRDefault="00491C53"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The </w:t>
      </w:r>
      <w:r w:rsidR="009F7C0E" w:rsidRPr="007C3FF5">
        <w:rPr>
          <w:rFonts w:ascii="Times New Roman" w:hAnsi="Times New Roman"/>
          <w:color w:val="000000"/>
        </w:rPr>
        <w:t xml:space="preserve">international trade in services </w:t>
      </w:r>
      <w:r w:rsidRPr="007C3FF5">
        <w:rPr>
          <w:rFonts w:ascii="Times New Roman" w:hAnsi="Times New Roman"/>
          <w:color w:val="000000"/>
        </w:rPr>
        <w:t xml:space="preserve">survey (ITIS) has been used to provide estimates for exports of services (although without a geographical split) in the trial balance.  It should also be able to provide some results for imports.  </w:t>
      </w:r>
    </w:p>
    <w:p w:rsidR="00225BB1" w:rsidRPr="007C3FF5" w:rsidRDefault="00225BB1" w:rsidP="00225BB1">
      <w:pPr>
        <w:pStyle w:val="NoSpacing"/>
        <w:spacing w:line="276" w:lineRule="auto"/>
        <w:ind w:left="426"/>
        <w:jc w:val="both"/>
        <w:rPr>
          <w:rFonts w:ascii="Times New Roman" w:hAnsi="Times New Roman"/>
          <w:color w:val="000000"/>
        </w:rPr>
      </w:pPr>
    </w:p>
    <w:p w:rsidR="00634A5E" w:rsidRPr="007C3FF5" w:rsidRDefault="00A97D3C"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NISRA has integrated the Manufacturing Sales and Exports Survey with t</w:t>
      </w:r>
      <w:r w:rsidR="00491C53" w:rsidRPr="007C3FF5">
        <w:rPr>
          <w:rFonts w:ascii="Times New Roman" w:hAnsi="Times New Roman"/>
          <w:color w:val="000000"/>
        </w:rPr>
        <w:t>he ABI</w:t>
      </w:r>
      <w:r w:rsidRPr="007C3FF5">
        <w:rPr>
          <w:rFonts w:ascii="Times New Roman" w:hAnsi="Times New Roman"/>
          <w:color w:val="000000"/>
        </w:rPr>
        <w:t>, which</w:t>
      </w:r>
      <w:r w:rsidR="00491C53" w:rsidRPr="007C3FF5">
        <w:rPr>
          <w:rFonts w:ascii="Times New Roman" w:hAnsi="Times New Roman"/>
          <w:color w:val="000000"/>
        </w:rPr>
        <w:t xml:space="preserve"> </w:t>
      </w:r>
      <w:r w:rsidRPr="007C3FF5">
        <w:rPr>
          <w:rFonts w:ascii="Times New Roman" w:hAnsi="Times New Roman"/>
          <w:color w:val="000000"/>
        </w:rPr>
        <w:t xml:space="preserve">now </w:t>
      </w:r>
      <w:r w:rsidR="00491C53" w:rsidRPr="007C3FF5">
        <w:rPr>
          <w:rFonts w:ascii="Times New Roman" w:hAnsi="Times New Roman"/>
          <w:color w:val="000000"/>
        </w:rPr>
        <w:t xml:space="preserve">collects the aggregate value of exports (including trade with Great Britain) for goods and services separately, with a geographical split.   It also </w:t>
      </w:r>
      <w:r w:rsidRPr="007C3FF5">
        <w:rPr>
          <w:rFonts w:ascii="Times New Roman" w:hAnsi="Times New Roman"/>
          <w:color w:val="000000"/>
        </w:rPr>
        <w:t xml:space="preserve">now </w:t>
      </w:r>
      <w:r w:rsidR="00491C53" w:rsidRPr="007C3FF5">
        <w:rPr>
          <w:rFonts w:ascii="Times New Roman" w:hAnsi="Times New Roman"/>
          <w:color w:val="000000"/>
        </w:rPr>
        <w:t xml:space="preserve">collects similar data (but not for trade with Great Britain) for imports.  The </w:t>
      </w:r>
      <w:r w:rsidR="009F7C0E" w:rsidRPr="007C3FF5">
        <w:rPr>
          <w:rFonts w:ascii="Times New Roman" w:hAnsi="Times New Roman"/>
          <w:color w:val="000000"/>
        </w:rPr>
        <w:t>methodology for analysis of this data is still in deve</w:t>
      </w:r>
      <w:r w:rsidR="00491C53" w:rsidRPr="007C3FF5">
        <w:rPr>
          <w:rFonts w:ascii="Times New Roman" w:hAnsi="Times New Roman"/>
          <w:color w:val="000000"/>
        </w:rPr>
        <w:t xml:space="preserve">lopment </w:t>
      </w:r>
      <w:r w:rsidR="00634A5E" w:rsidRPr="007C3FF5">
        <w:rPr>
          <w:rFonts w:ascii="Times New Roman" w:hAnsi="Times New Roman"/>
          <w:color w:val="000000"/>
        </w:rPr>
        <w:t>and</w:t>
      </w:r>
      <w:r w:rsidR="009F7C0E" w:rsidRPr="007C3FF5">
        <w:rPr>
          <w:rFonts w:ascii="Times New Roman" w:hAnsi="Times New Roman"/>
          <w:color w:val="000000"/>
        </w:rPr>
        <w:t xml:space="preserve"> it is hoped that </w:t>
      </w:r>
      <w:r w:rsidRPr="007C3FF5">
        <w:rPr>
          <w:rFonts w:ascii="Times New Roman" w:hAnsi="Times New Roman"/>
          <w:color w:val="000000"/>
        </w:rPr>
        <w:t xml:space="preserve">exports </w:t>
      </w:r>
      <w:r w:rsidR="00634A5E" w:rsidRPr="007C3FF5">
        <w:rPr>
          <w:rFonts w:ascii="Times New Roman" w:hAnsi="Times New Roman"/>
          <w:color w:val="000000"/>
        </w:rPr>
        <w:t xml:space="preserve">results </w:t>
      </w:r>
      <w:r w:rsidR="009F7C0E" w:rsidRPr="007C3FF5">
        <w:rPr>
          <w:rFonts w:ascii="Times New Roman" w:hAnsi="Times New Roman"/>
          <w:color w:val="000000"/>
        </w:rPr>
        <w:t xml:space="preserve">will be </w:t>
      </w:r>
      <w:r w:rsidR="00491C53" w:rsidRPr="007C3FF5">
        <w:rPr>
          <w:rFonts w:ascii="Times New Roman" w:hAnsi="Times New Roman"/>
          <w:color w:val="000000"/>
        </w:rPr>
        <w:t>avail</w:t>
      </w:r>
      <w:r w:rsidR="009F7C0E" w:rsidRPr="007C3FF5">
        <w:rPr>
          <w:rFonts w:ascii="Times New Roman" w:hAnsi="Times New Roman"/>
          <w:color w:val="000000"/>
        </w:rPr>
        <w:t xml:space="preserve">able </w:t>
      </w:r>
      <w:r w:rsidR="00962329" w:rsidRPr="007C3FF5">
        <w:rPr>
          <w:rFonts w:ascii="Times New Roman" w:hAnsi="Times New Roman"/>
          <w:color w:val="000000"/>
        </w:rPr>
        <w:t xml:space="preserve">by </w:t>
      </w:r>
      <w:proofErr w:type="gramStart"/>
      <w:r w:rsidR="00962329" w:rsidRPr="007C3FF5">
        <w:rPr>
          <w:rFonts w:ascii="Times New Roman" w:hAnsi="Times New Roman"/>
          <w:color w:val="000000"/>
        </w:rPr>
        <w:t>Spring</w:t>
      </w:r>
      <w:proofErr w:type="gramEnd"/>
      <w:r w:rsidR="00962329" w:rsidRPr="007C3FF5">
        <w:rPr>
          <w:rFonts w:ascii="Times New Roman" w:hAnsi="Times New Roman"/>
          <w:color w:val="000000"/>
        </w:rPr>
        <w:t xml:space="preserve"> 2014</w:t>
      </w:r>
      <w:r w:rsidR="009F7C0E" w:rsidRPr="007C3FF5">
        <w:rPr>
          <w:rFonts w:ascii="Times New Roman" w:hAnsi="Times New Roman"/>
          <w:color w:val="000000"/>
        </w:rPr>
        <w:t xml:space="preserve">.   </w:t>
      </w:r>
      <w:r w:rsidR="00491C53" w:rsidRPr="007C3FF5">
        <w:rPr>
          <w:rFonts w:ascii="Times New Roman" w:hAnsi="Times New Roman"/>
          <w:color w:val="000000"/>
        </w:rPr>
        <w:t>This would be a useful step forward.  Information on imports from Great Britain would be of more use still</w:t>
      </w:r>
      <w:r w:rsidR="00962329" w:rsidRPr="007C3FF5">
        <w:rPr>
          <w:rFonts w:ascii="Times New Roman" w:hAnsi="Times New Roman"/>
          <w:color w:val="000000"/>
        </w:rPr>
        <w:t xml:space="preserve"> and it is understood NISRA is planning to incorporate such questions in the Annual Business Inquiry (ABI) for survey reference year 2013</w:t>
      </w:r>
      <w:r w:rsidR="00491C53" w:rsidRPr="007C3FF5">
        <w:rPr>
          <w:rFonts w:ascii="Times New Roman" w:hAnsi="Times New Roman"/>
          <w:color w:val="000000"/>
        </w:rPr>
        <w:t>.</w:t>
      </w:r>
      <w:r w:rsidR="00634A5E" w:rsidRPr="007C3FF5">
        <w:rPr>
          <w:rFonts w:ascii="Times New Roman" w:hAnsi="Times New Roman"/>
          <w:color w:val="000000"/>
        </w:rPr>
        <w:t xml:space="preserve">  However, any new data collection </w:t>
      </w:r>
      <w:r w:rsidR="00962329" w:rsidRPr="007C3FF5">
        <w:rPr>
          <w:rFonts w:ascii="Times New Roman" w:hAnsi="Times New Roman"/>
          <w:color w:val="000000"/>
        </w:rPr>
        <w:t xml:space="preserve">such as the Purchases Inquiry or ABI </w:t>
      </w:r>
      <w:r w:rsidR="00467784" w:rsidRPr="007C3FF5">
        <w:rPr>
          <w:rFonts w:ascii="Times New Roman" w:hAnsi="Times New Roman"/>
          <w:color w:val="000000"/>
        </w:rPr>
        <w:t>would</w:t>
      </w:r>
      <w:r w:rsidR="00634A5E" w:rsidRPr="007C3FF5">
        <w:rPr>
          <w:rFonts w:ascii="Times New Roman" w:hAnsi="Times New Roman"/>
          <w:color w:val="000000"/>
        </w:rPr>
        <w:t xml:space="preserve"> involve compliance costs, and these need to be taken into account, as </w:t>
      </w:r>
      <w:r w:rsidR="000F16E9" w:rsidRPr="007C3FF5">
        <w:rPr>
          <w:rFonts w:ascii="Times New Roman" w:hAnsi="Times New Roman"/>
          <w:color w:val="000000"/>
        </w:rPr>
        <w:t>would</w:t>
      </w:r>
      <w:r w:rsidR="00634A5E" w:rsidRPr="007C3FF5">
        <w:rPr>
          <w:rFonts w:ascii="Times New Roman" w:hAnsi="Times New Roman"/>
          <w:color w:val="000000"/>
        </w:rPr>
        <w:t xml:space="preserve"> the set up and maintenance costs involved with validating and processing any additional questions.</w:t>
      </w:r>
    </w:p>
    <w:p w:rsidR="00225BB1" w:rsidRPr="007C3FF5" w:rsidRDefault="00225BB1" w:rsidP="00225BB1">
      <w:pPr>
        <w:pStyle w:val="NoSpacing"/>
        <w:spacing w:line="276" w:lineRule="auto"/>
        <w:ind w:left="426"/>
        <w:jc w:val="both"/>
        <w:rPr>
          <w:rFonts w:ascii="Times New Roman" w:hAnsi="Times New Roman"/>
          <w:color w:val="000000"/>
        </w:rPr>
      </w:pPr>
    </w:p>
    <w:p w:rsidR="00C101FE" w:rsidRPr="007C3FF5" w:rsidRDefault="00C101FE"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The current e</w:t>
      </w:r>
      <w:r w:rsidR="00606617" w:rsidRPr="007C3FF5">
        <w:rPr>
          <w:rFonts w:ascii="Times New Roman" w:hAnsi="Times New Roman"/>
          <w:color w:val="000000"/>
        </w:rPr>
        <w:t xml:space="preserve">stimates of household final consumption </w:t>
      </w:r>
      <w:r w:rsidRPr="007C3FF5">
        <w:rPr>
          <w:rFonts w:ascii="Times New Roman" w:hAnsi="Times New Roman"/>
          <w:color w:val="000000"/>
        </w:rPr>
        <w:t xml:space="preserve">are based on three year averages </w:t>
      </w:r>
      <w:r w:rsidR="00606617" w:rsidRPr="007C3FF5">
        <w:rPr>
          <w:rFonts w:ascii="Times New Roman" w:hAnsi="Times New Roman"/>
          <w:color w:val="000000"/>
        </w:rPr>
        <w:t xml:space="preserve">from the </w:t>
      </w:r>
      <w:r w:rsidRPr="007C3FF5">
        <w:rPr>
          <w:rFonts w:ascii="Times New Roman" w:hAnsi="Times New Roman"/>
          <w:color w:val="000000"/>
        </w:rPr>
        <w:t xml:space="preserve">Northern Ireland element of the </w:t>
      </w:r>
      <w:r w:rsidR="00606617" w:rsidRPr="007C3FF5">
        <w:rPr>
          <w:rFonts w:ascii="Times New Roman" w:hAnsi="Times New Roman"/>
          <w:color w:val="000000"/>
        </w:rPr>
        <w:t>Living Costs and Food Survey</w:t>
      </w:r>
      <w:r w:rsidRPr="007C3FF5">
        <w:rPr>
          <w:rFonts w:ascii="Times New Roman" w:hAnsi="Times New Roman"/>
          <w:color w:val="000000"/>
        </w:rPr>
        <w:t xml:space="preserve">. Development of the Supply Use Tables would benefit from an increased Northern Ireland sample size from 2015 onwards, should resources allow. </w:t>
      </w:r>
    </w:p>
    <w:p w:rsidR="00225BB1" w:rsidRPr="007C3FF5" w:rsidRDefault="00225BB1" w:rsidP="00225BB1">
      <w:pPr>
        <w:pStyle w:val="NoSpacing"/>
        <w:spacing w:line="276" w:lineRule="auto"/>
        <w:ind w:left="426"/>
        <w:jc w:val="both"/>
        <w:rPr>
          <w:rFonts w:ascii="Times New Roman" w:hAnsi="Times New Roman"/>
          <w:color w:val="000000"/>
        </w:rPr>
      </w:pPr>
    </w:p>
    <w:p w:rsidR="00467784" w:rsidRPr="007C3FF5" w:rsidRDefault="00467784"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Charities make up the largest element of the NPISH sector, but there is little informat</w:t>
      </w:r>
      <w:r w:rsidR="00C21379" w:rsidRPr="007C3FF5">
        <w:rPr>
          <w:rFonts w:ascii="Times New Roman" w:hAnsi="Times New Roman"/>
          <w:color w:val="000000"/>
        </w:rPr>
        <w:t xml:space="preserve">ion readily available </w:t>
      </w:r>
      <w:r w:rsidR="00627155" w:rsidRPr="007C3FF5">
        <w:rPr>
          <w:rFonts w:ascii="Times New Roman" w:hAnsi="Times New Roman"/>
          <w:color w:val="000000"/>
        </w:rPr>
        <w:t>regarding</w:t>
      </w:r>
      <w:r w:rsidR="00C21379" w:rsidRPr="007C3FF5">
        <w:rPr>
          <w:rFonts w:ascii="Times New Roman" w:hAnsi="Times New Roman"/>
          <w:color w:val="000000"/>
        </w:rPr>
        <w:t xml:space="preserve"> their costs (wages; purchases of goods and services; capital expenditure; depreciation) for the different types of services they provide.  The Charities Commission for Northern Ireland or the Northern Ireland Council </w:t>
      </w:r>
      <w:r w:rsidR="004E7FE6" w:rsidRPr="007C3FF5">
        <w:rPr>
          <w:rFonts w:ascii="Times New Roman" w:hAnsi="Times New Roman"/>
          <w:color w:val="000000"/>
        </w:rPr>
        <w:t>for Voluntary Action</w:t>
      </w:r>
      <w:r w:rsidR="00C21379" w:rsidRPr="007C3FF5">
        <w:rPr>
          <w:rFonts w:ascii="Times New Roman" w:hAnsi="Times New Roman"/>
          <w:color w:val="000000"/>
        </w:rPr>
        <w:t xml:space="preserve"> may be able to help</w:t>
      </w:r>
      <w:r w:rsidR="009B3D44" w:rsidRPr="007C3FF5">
        <w:rPr>
          <w:rFonts w:ascii="Times New Roman" w:hAnsi="Times New Roman"/>
          <w:color w:val="000000"/>
        </w:rPr>
        <w:t xml:space="preserve"> with this</w:t>
      </w:r>
      <w:r w:rsidR="00C21379" w:rsidRPr="007C3FF5">
        <w:rPr>
          <w:rFonts w:ascii="Times New Roman" w:hAnsi="Times New Roman"/>
          <w:color w:val="000000"/>
        </w:rPr>
        <w:t>.</w:t>
      </w:r>
    </w:p>
    <w:p w:rsidR="004C5016" w:rsidRPr="007C3FF5" w:rsidRDefault="004C5016" w:rsidP="00225BB1">
      <w:pPr>
        <w:pStyle w:val="NoSpacing"/>
        <w:spacing w:line="276" w:lineRule="auto"/>
        <w:ind w:left="426"/>
        <w:jc w:val="both"/>
        <w:rPr>
          <w:rFonts w:ascii="Times New Roman" w:hAnsi="Times New Roman"/>
          <w:color w:val="000000"/>
        </w:rPr>
      </w:pPr>
    </w:p>
    <w:p w:rsidR="00225BB1" w:rsidRPr="007C3FF5" w:rsidRDefault="00225BB1" w:rsidP="00225BB1">
      <w:pPr>
        <w:pStyle w:val="Heading2"/>
        <w:ind w:left="426"/>
        <w:rPr>
          <w:rFonts w:ascii="Times New Roman" w:hAnsi="Times New Roman" w:cs="Times New Roman"/>
          <w:lang w:bidi="ar-SA"/>
        </w:rPr>
      </w:pPr>
      <w:bookmarkStart w:id="49" w:name="_Toc383010515"/>
      <w:r w:rsidRPr="007C3FF5">
        <w:rPr>
          <w:rFonts w:ascii="Times New Roman" w:hAnsi="Times New Roman" w:cs="Times New Roman"/>
          <w:lang w:bidi="ar-SA"/>
        </w:rPr>
        <w:t>Next Steps</w:t>
      </w:r>
      <w:bookmarkEnd w:id="49"/>
      <w:r w:rsidRPr="007C3FF5">
        <w:rPr>
          <w:rFonts w:ascii="Times New Roman" w:hAnsi="Times New Roman" w:cs="Times New Roman"/>
          <w:lang w:bidi="ar-SA"/>
        </w:rPr>
        <w:t xml:space="preserve"> </w:t>
      </w:r>
    </w:p>
    <w:p w:rsidR="00225BB1" w:rsidRPr="007C3FF5" w:rsidRDefault="00225BB1" w:rsidP="00225BB1">
      <w:pPr>
        <w:pStyle w:val="NoSpacing"/>
        <w:spacing w:line="276" w:lineRule="auto"/>
        <w:ind w:left="426"/>
        <w:jc w:val="both"/>
        <w:rPr>
          <w:rFonts w:ascii="Times New Roman" w:hAnsi="Times New Roman"/>
          <w:color w:val="000000"/>
        </w:rPr>
      </w:pPr>
    </w:p>
    <w:p w:rsidR="00225BB1" w:rsidRPr="007C3FF5" w:rsidRDefault="00225BB1"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 xml:space="preserve">NISRA are continuing to work with ONS </w:t>
      </w:r>
      <w:r w:rsidR="00627155" w:rsidRPr="007C3FF5">
        <w:rPr>
          <w:rFonts w:ascii="Times New Roman" w:hAnsi="Times New Roman"/>
          <w:color w:val="000000"/>
        </w:rPr>
        <w:t>to develop this project and to address identified weaknesses. This includes:</w:t>
      </w:r>
    </w:p>
    <w:p w:rsidR="00225BB1" w:rsidRPr="007C3FF5" w:rsidRDefault="00225BB1" w:rsidP="00225BB1">
      <w:pPr>
        <w:pStyle w:val="NoSpacing"/>
        <w:spacing w:line="276" w:lineRule="auto"/>
        <w:ind w:left="426"/>
        <w:jc w:val="both"/>
        <w:rPr>
          <w:rFonts w:ascii="Times New Roman" w:hAnsi="Times New Roman"/>
          <w:color w:val="000000"/>
        </w:rPr>
      </w:pPr>
    </w:p>
    <w:p w:rsidR="00AC412E" w:rsidRPr="007C3FF5" w:rsidRDefault="001072D6"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Tak</w:t>
      </w:r>
      <w:r w:rsidR="00627155" w:rsidRPr="007C3FF5">
        <w:rPr>
          <w:rFonts w:ascii="Times New Roman" w:hAnsi="Times New Roman"/>
          <w:color w:val="000000"/>
          <w:lang w:eastAsia="en-GB" w:bidi="ar-SA"/>
        </w:rPr>
        <w:t>ing</w:t>
      </w:r>
      <w:r w:rsidRPr="007C3FF5">
        <w:rPr>
          <w:rFonts w:ascii="Times New Roman" w:hAnsi="Times New Roman"/>
          <w:color w:val="000000"/>
          <w:lang w:eastAsia="en-GB" w:bidi="ar-SA"/>
        </w:rPr>
        <w:t xml:space="preserve"> on board</w:t>
      </w:r>
      <w:r w:rsidR="00627155" w:rsidRPr="007C3FF5">
        <w:rPr>
          <w:rFonts w:ascii="Times New Roman" w:hAnsi="Times New Roman"/>
          <w:color w:val="000000"/>
          <w:lang w:eastAsia="en-GB" w:bidi="ar-SA"/>
        </w:rPr>
        <w:t xml:space="preserve"> the</w:t>
      </w:r>
      <w:r w:rsidRPr="007C3FF5">
        <w:rPr>
          <w:rFonts w:ascii="Times New Roman" w:hAnsi="Times New Roman"/>
          <w:color w:val="000000"/>
          <w:lang w:eastAsia="en-GB" w:bidi="ar-SA"/>
        </w:rPr>
        <w:t xml:space="preserve"> views </w:t>
      </w:r>
      <w:r w:rsidR="00225BB1" w:rsidRPr="007C3FF5">
        <w:rPr>
          <w:rFonts w:ascii="Times New Roman" w:hAnsi="Times New Roman"/>
          <w:color w:val="000000"/>
          <w:lang w:eastAsia="en-GB" w:bidi="ar-SA"/>
        </w:rPr>
        <w:t>of</w:t>
      </w:r>
      <w:r w:rsidRPr="007C3FF5">
        <w:rPr>
          <w:rFonts w:ascii="Times New Roman" w:hAnsi="Times New Roman"/>
          <w:color w:val="000000"/>
          <w:lang w:eastAsia="en-GB" w:bidi="ar-SA"/>
        </w:rPr>
        <w:t xml:space="preserve"> users;  </w:t>
      </w:r>
    </w:p>
    <w:p w:rsidR="00AC412E" w:rsidRPr="007C3FF5" w:rsidRDefault="001072D6"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Identify</w:t>
      </w:r>
      <w:r w:rsidR="00627155" w:rsidRPr="007C3FF5">
        <w:rPr>
          <w:rFonts w:ascii="Times New Roman" w:hAnsi="Times New Roman"/>
          <w:color w:val="000000"/>
          <w:lang w:eastAsia="en-GB" w:bidi="ar-SA"/>
        </w:rPr>
        <w:t>ing</w:t>
      </w:r>
      <w:r w:rsidRPr="007C3FF5">
        <w:rPr>
          <w:rFonts w:ascii="Times New Roman" w:hAnsi="Times New Roman"/>
          <w:color w:val="000000"/>
          <w:lang w:eastAsia="en-GB" w:bidi="ar-SA"/>
        </w:rPr>
        <w:t xml:space="preserve"> priorities and seek</w:t>
      </w:r>
      <w:r w:rsidR="00627155" w:rsidRPr="007C3FF5">
        <w:rPr>
          <w:rFonts w:ascii="Times New Roman" w:hAnsi="Times New Roman"/>
          <w:color w:val="000000"/>
          <w:lang w:eastAsia="en-GB" w:bidi="ar-SA"/>
        </w:rPr>
        <w:t>ing</w:t>
      </w:r>
      <w:r w:rsidRPr="007C3FF5">
        <w:rPr>
          <w:rFonts w:ascii="Times New Roman" w:hAnsi="Times New Roman"/>
          <w:color w:val="000000"/>
          <w:lang w:eastAsia="en-GB" w:bidi="ar-SA"/>
        </w:rPr>
        <w:t xml:space="preserve"> resources</w:t>
      </w:r>
      <w:r w:rsidR="00627155" w:rsidRPr="007C3FF5">
        <w:rPr>
          <w:rFonts w:ascii="Times New Roman" w:hAnsi="Times New Roman"/>
          <w:color w:val="000000"/>
          <w:lang w:eastAsia="en-GB" w:bidi="ar-SA"/>
        </w:rPr>
        <w:t>;</w:t>
      </w:r>
    </w:p>
    <w:p w:rsidR="00AC412E" w:rsidRPr="007C3FF5" w:rsidRDefault="001072D6" w:rsidP="00627155">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 xml:space="preserve">Include new </w:t>
      </w:r>
      <w:r w:rsidR="00627155" w:rsidRPr="007C3FF5">
        <w:rPr>
          <w:rFonts w:ascii="Times New Roman" w:hAnsi="Times New Roman"/>
          <w:color w:val="000000"/>
          <w:lang w:eastAsia="en-GB" w:bidi="ar-SA"/>
        </w:rPr>
        <w:t>‘Exports’ and ‘Imports’ data</w:t>
      </w:r>
      <w:r w:rsidRPr="007C3FF5">
        <w:rPr>
          <w:rFonts w:ascii="Times New Roman" w:hAnsi="Times New Roman"/>
          <w:color w:val="000000"/>
          <w:lang w:eastAsia="en-GB" w:bidi="ar-SA"/>
        </w:rPr>
        <w:t xml:space="preserve"> available from the ABI</w:t>
      </w:r>
      <w:r w:rsidR="00627155" w:rsidRPr="007C3FF5">
        <w:rPr>
          <w:rFonts w:ascii="Times New Roman" w:hAnsi="Times New Roman"/>
          <w:color w:val="000000"/>
          <w:lang w:eastAsia="en-GB" w:bidi="ar-SA"/>
        </w:rPr>
        <w:t xml:space="preserve">; </w:t>
      </w:r>
    </w:p>
    <w:p w:rsidR="00AC412E" w:rsidRPr="007C3FF5" w:rsidRDefault="001072D6" w:rsidP="00627155">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Collect GB ‘Imports’</w:t>
      </w:r>
      <w:r w:rsidR="00627155" w:rsidRPr="007C3FF5">
        <w:rPr>
          <w:rFonts w:ascii="Times New Roman" w:hAnsi="Times New Roman"/>
          <w:color w:val="000000"/>
          <w:lang w:eastAsia="en-GB" w:bidi="ar-SA"/>
        </w:rPr>
        <w:t xml:space="preserve"> data</w:t>
      </w:r>
      <w:r w:rsidRPr="007C3FF5">
        <w:rPr>
          <w:rFonts w:ascii="Times New Roman" w:hAnsi="Times New Roman"/>
          <w:color w:val="000000"/>
          <w:lang w:eastAsia="en-GB" w:bidi="ar-SA"/>
        </w:rPr>
        <w:t xml:space="preserve"> (</w:t>
      </w:r>
      <w:r w:rsidR="00627155" w:rsidRPr="007C3FF5">
        <w:rPr>
          <w:rFonts w:ascii="Times New Roman" w:hAnsi="Times New Roman"/>
          <w:color w:val="000000"/>
          <w:lang w:eastAsia="en-GB" w:bidi="ar-SA"/>
        </w:rPr>
        <w:t xml:space="preserve">potentially through </w:t>
      </w:r>
      <w:r w:rsidRPr="007C3FF5">
        <w:rPr>
          <w:rFonts w:ascii="Times New Roman" w:hAnsi="Times New Roman"/>
          <w:color w:val="000000"/>
          <w:lang w:eastAsia="en-GB" w:bidi="ar-SA"/>
        </w:rPr>
        <w:t>new ABI questions)</w:t>
      </w:r>
      <w:r w:rsidR="00627155" w:rsidRPr="007C3FF5">
        <w:rPr>
          <w:rFonts w:ascii="Times New Roman" w:hAnsi="Times New Roman"/>
          <w:color w:val="000000"/>
          <w:lang w:eastAsia="en-GB" w:bidi="ar-SA"/>
        </w:rPr>
        <w:t>;</w:t>
      </w:r>
    </w:p>
    <w:p w:rsidR="001072D6" w:rsidRPr="007C3FF5" w:rsidRDefault="001072D6" w:rsidP="00627155">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Consider the possibility of conducting a purchases inquiry for NI and t increasing the sample size for the Living Costs and Food survey;</w:t>
      </w:r>
    </w:p>
    <w:p w:rsidR="00AC412E" w:rsidRPr="007C3FF5" w:rsidRDefault="00627155" w:rsidP="00627155">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 xml:space="preserve">Address </w:t>
      </w:r>
      <w:r w:rsidR="001072D6" w:rsidRPr="007C3FF5">
        <w:rPr>
          <w:rFonts w:ascii="Times New Roman" w:hAnsi="Times New Roman"/>
          <w:color w:val="000000"/>
          <w:lang w:eastAsia="en-GB" w:bidi="ar-SA"/>
        </w:rPr>
        <w:t xml:space="preserve">other </w:t>
      </w:r>
      <w:r w:rsidRPr="007C3FF5">
        <w:rPr>
          <w:rFonts w:ascii="Times New Roman" w:hAnsi="Times New Roman"/>
          <w:color w:val="000000"/>
          <w:lang w:eastAsia="en-GB" w:bidi="ar-SA"/>
        </w:rPr>
        <w:t>data gaps identified e.g. in the Financial Sector</w:t>
      </w:r>
      <w:r w:rsidR="001072D6" w:rsidRPr="007C3FF5">
        <w:rPr>
          <w:rFonts w:ascii="Times New Roman" w:hAnsi="Times New Roman"/>
          <w:color w:val="000000"/>
          <w:lang w:eastAsia="en-GB" w:bidi="ar-SA"/>
        </w:rPr>
        <w:t xml:space="preserve"> / NGO / Charitable Sectors</w:t>
      </w:r>
      <w:r w:rsidRPr="007C3FF5">
        <w:rPr>
          <w:rFonts w:ascii="Times New Roman" w:hAnsi="Times New Roman"/>
          <w:color w:val="000000"/>
          <w:lang w:eastAsia="en-GB" w:bidi="ar-SA"/>
        </w:rPr>
        <w:t>;</w:t>
      </w:r>
    </w:p>
    <w:p w:rsidR="00AC412E" w:rsidRPr="007C3FF5" w:rsidRDefault="00225BB1" w:rsidP="00225BB1">
      <w:pPr>
        <w:pStyle w:val="NoSpacing"/>
        <w:numPr>
          <w:ilvl w:val="0"/>
          <w:numId w:val="6"/>
        </w:numPr>
        <w:spacing w:line="276" w:lineRule="auto"/>
        <w:jc w:val="both"/>
        <w:rPr>
          <w:rFonts w:ascii="Times New Roman" w:hAnsi="Times New Roman"/>
          <w:color w:val="000000"/>
          <w:lang w:eastAsia="en-GB" w:bidi="ar-SA"/>
        </w:rPr>
      </w:pPr>
      <w:r w:rsidRPr="007C3FF5">
        <w:rPr>
          <w:rFonts w:ascii="Times New Roman" w:hAnsi="Times New Roman"/>
          <w:color w:val="000000"/>
          <w:lang w:eastAsia="en-GB" w:bidi="ar-SA"/>
        </w:rPr>
        <w:t xml:space="preserve">Build expertise within NISRA and update Tables for 2011, incorporating new data which come available. </w:t>
      </w:r>
    </w:p>
    <w:p w:rsidR="00225BB1" w:rsidRPr="007C3FF5" w:rsidRDefault="00225BB1" w:rsidP="00225BB1">
      <w:pPr>
        <w:pStyle w:val="NoSpacing"/>
        <w:spacing w:line="276" w:lineRule="auto"/>
        <w:ind w:left="426"/>
        <w:jc w:val="both"/>
        <w:rPr>
          <w:rFonts w:ascii="Times New Roman" w:hAnsi="Times New Roman"/>
          <w:color w:val="000000"/>
        </w:rPr>
      </w:pPr>
    </w:p>
    <w:p w:rsidR="00225BB1" w:rsidRDefault="00627155" w:rsidP="00225BB1">
      <w:pPr>
        <w:pStyle w:val="NoSpacing"/>
        <w:spacing w:line="276" w:lineRule="auto"/>
        <w:ind w:left="426"/>
        <w:jc w:val="both"/>
        <w:rPr>
          <w:rFonts w:ascii="Times New Roman" w:hAnsi="Times New Roman"/>
          <w:color w:val="000000"/>
        </w:rPr>
      </w:pPr>
      <w:r w:rsidRPr="007C3FF5">
        <w:rPr>
          <w:rFonts w:ascii="Times New Roman" w:hAnsi="Times New Roman"/>
          <w:color w:val="000000"/>
        </w:rPr>
        <w:t>In order to continue to develop the project we welcome any comments or feedback from users regarding any elements of this project.</w:t>
      </w:r>
      <w:r w:rsidR="00661050" w:rsidRPr="007C3FF5">
        <w:rPr>
          <w:rFonts w:ascii="Times New Roman" w:hAnsi="Times New Roman"/>
          <w:color w:val="000000"/>
        </w:rPr>
        <w:t xml:space="preserve"> Comments can be provided to NISRA at the following email address: </w:t>
      </w:r>
      <w:hyperlink r:id="rId22" w:history="1">
        <w:r w:rsidR="00661050" w:rsidRPr="007C3FF5">
          <w:rPr>
            <w:rStyle w:val="Hyperlink"/>
            <w:rFonts w:ascii="Times New Roman" w:hAnsi="Times New Roman"/>
          </w:rPr>
          <w:t>chris.ganley@dfpni.gov.uk</w:t>
        </w:r>
      </w:hyperlink>
      <w:r w:rsidR="00661050">
        <w:rPr>
          <w:rFonts w:ascii="Times New Roman" w:hAnsi="Times New Roman"/>
          <w:color w:val="000000"/>
        </w:rPr>
        <w:t xml:space="preserve"> </w:t>
      </w:r>
    </w:p>
    <w:p w:rsidR="00627155" w:rsidRDefault="00627155" w:rsidP="00225BB1">
      <w:pPr>
        <w:pStyle w:val="NoSpacing"/>
        <w:spacing w:line="276" w:lineRule="auto"/>
        <w:ind w:left="426"/>
        <w:jc w:val="both"/>
        <w:rPr>
          <w:rFonts w:ascii="Times New Roman" w:hAnsi="Times New Roman"/>
          <w:color w:val="000000"/>
        </w:rPr>
      </w:pPr>
    </w:p>
    <w:p w:rsidR="00627155" w:rsidRPr="00225BB1" w:rsidRDefault="00627155" w:rsidP="00225BB1">
      <w:pPr>
        <w:pStyle w:val="NoSpacing"/>
        <w:spacing w:line="276" w:lineRule="auto"/>
        <w:ind w:left="426"/>
        <w:jc w:val="both"/>
        <w:rPr>
          <w:rFonts w:ascii="Times New Roman" w:hAnsi="Times New Roman"/>
          <w:color w:val="000000"/>
        </w:rPr>
      </w:pPr>
    </w:p>
    <w:sectPr w:rsidR="00627155" w:rsidRPr="00225BB1" w:rsidSect="00B518B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AB" w:rsidRDefault="00E50FAB">
      <w:r>
        <w:separator/>
      </w:r>
    </w:p>
  </w:endnote>
  <w:endnote w:type="continuationSeparator" w:id="0">
    <w:p w:rsidR="00E50FAB" w:rsidRDefault="00E50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2" w:rsidRDefault="00206435" w:rsidP="00656B36">
    <w:pPr>
      <w:pStyle w:val="Footer"/>
      <w:framePr w:wrap="around" w:vAnchor="text" w:hAnchor="margin" w:xAlign="center" w:y="1"/>
      <w:numPr>
        <w:ilvl w:val="1"/>
        <w:numId w:val="0"/>
      </w:numPr>
      <w:tabs>
        <w:tab w:val="num" w:pos="567"/>
        <w:tab w:val="num" w:pos="792"/>
      </w:tabs>
      <w:spacing w:after="120"/>
      <w:ind w:left="567" w:hanging="567"/>
      <w:rPr>
        <w:rStyle w:val="PageNumber"/>
      </w:rPr>
    </w:pPr>
    <w:r>
      <w:rPr>
        <w:rStyle w:val="PageNumber"/>
      </w:rPr>
      <w:fldChar w:fldCharType="begin"/>
    </w:r>
    <w:r w:rsidR="001C2AB2">
      <w:rPr>
        <w:rStyle w:val="PageNumber"/>
      </w:rPr>
      <w:instrText xml:space="preserve">PAGE  </w:instrText>
    </w:r>
    <w:r>
      <w:rPr>
        <w:rStyle w:val="PageNumber"/>
      </w:rPr>
      <w:fldChar w:fldCharType="end"/>
    </w:r>
  </w:p>
  <w:p w:rsidR="001C2AB2" w:rsidRDefault="001C2AB2" w:rsidP="00656B36">
    <w:pPr>
      <w:pStyle w:val="Footer"/>
      <w:numPr>
        <w:ilvl w:val="1"/>
        <w:numId w:val="0"/>
      </w:numPr>
      <w:tabs>
        <w:tab w:val="num" w:pos="567"/>
        <w:tab w:val="num" w:pos="792"/>
      </w:tabs>
      <w:spacing w:after="120"/>
      <w:ind w:left="567" w:hanging="56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2" w:rsidRDefault="00206435" w:rsidP="00E36A95">
    <w:pPr>
      <w:pStyle w:val="Footer"/>
      <w:framePr w:wrap="around" w:vAnchor="text" w:hAnchor="margin" w:xAlign="center" w:y="1"/>
      <w:ind w:left="360"/>
      <w:rPr>
        <w:rStyle w:val="PageNumber"/>
      </w:rPr>
    </w:pPr>
    <w:r>
      <w:rPr>
        <w:rStyle w:val="PageNumber"/>
      </w:rPr>
      <w:fldChar w:fldCharType="begin"/>
    </w:r>
    <w:r w:rsidR="001C2AB2">
      <w:rPr>
        <w:rStyle w:val="PageNumber"/>
      </w:rPr>
      <w:instrText xml:space="preserve">PAGE  </w:instrText>
    </w:r>
    <w:r>
      <w:rPr>
        <w:rStyle w:val="PageNumber"/>
      </w:rPr>
      <w:fldChar w:fldCharType="separate"/>
    </w:r>
    <w:r w:rsidR="001C2AB2">
      <w:rPr>
        <w:rStyle w:val="PageNumber"/>
        <w:noProof/>
      </w:rPr>
      <w:t>2</w:t>
    </w:r>
    <w:r>
      <w:rPr>
        <w:rStyle w:val="PageNumber"/>
      </w:rPr>
      <w:fldChar w:fldCharType="end"/>
    </w:r>
  </w:p>
  <w:p w:rsidR="001C2AB2" w:rsidRDefault="001C2AB2" w:rsidP="00E36A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20" w:rsidRDefault="00425E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119"/>
      <w:docPartObj>
        <w:docPartGallery w:val="Page Numbers (Bottom of Page)"/>
        <w:docPartUnique/>
      </w:docPartObj>
    </w:sdtPr>
    <w:sdtContent>
      <w:p w:rsidR="001C2AB2" w:rsidRDefault="00206435">
        <w:pPr>
          <w:pStyle w:val="Footer"/>
          <w:jc w:val="right"/>
        </w:pPr>
      </w:p>
    </w:sdtContent>
  </w:sdt>
  <w:p w:rsidR="001C2AB2" w:rsidRDefault="001C2AB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2" w:rsidRDefault="00206435" w:rsidP="00EB11EF">
    <w:pPr>
      <w:pStyle w:val="Footer"/>
      <w:framePr w:wrap="around" w:vAnchor="text" w:hAnchor="margin" w:xAlign="center" w:y="1"/>
      <w:rPr>
        <w:rStyle w:val="PageNumber"/>
      </w:rPr>
    </w:pPr>
    <w:r>
      <w:rPr>
        <w:rStyle w:val="PageNumber"/>
      </w:rPr>
      <w:fldChar w:fldCharType="begin"/>
    </w:r>
    <w:r w:rsidR="001C2AB2">
      <w:rPr>
        <w:rStyle w:val="PageNumber"/>
      </w:rPr>
      <w:instrText xml:space="preserve">PAGE  </w:instrText>
    </w:r>
    <w:r>
      <w:rPr>
        <w:rStyle w:val="PageNumber"/>
      </w:rPr>
      <w:fldChar w:fldCharType="end"/>
    </w:r>
  </w:p>
  <w:p w:rsidR="001C2AB2" w:rsidRDefault="001C2AB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2" w:rsidRPr="00B20B34" w:rsidRDefault="001C2AB2" w:rsidP="00B20B34">
    <w:pPr>
      <w:pStyle w:val="Footer"/>
      <w:pBdr>
        <w:top w:val="thinThickSmallGap" w:sz="24" w:space="1" w:color="1F497D" w:themeColor="text2"/>
      </w:pBdr>
      <w:rPr>
        <w:rFonts w:asciiTheme="majorHAnsi" w:hAnsiTheme="majorHAnsi"/>
      </w:rPr>
    </w:pPr>
    <w:r w:rsidRPr="00B20B34">
      <w:rPr>
        <w:rFonts w:ascii="Times New Roman" w:hAnsi="Times New Roman" w:cs="Times New Roman"/>
        <w:sz w:val="24"/>
        <w:szCs w:val="24"/>
      </w:rPr>
      <w:t xml:space="preserve">Scoping study to develop a set of </w:t>
    </w:r>
    <w:r w:rsidR="00425E20">
      <w:rPr>
        <w:rFonts w:ascii="Times New Roman" w:hAnsi="Times New Roman" w:cs="Times New Roman"/>
        <w:sz w:val="24"/>
        <w:szCs w:val="24"/>
      </w:rPr>
      <w:t>Supply Use Tables</w:t>
    </w:r>
    <w:r w:rsidRPr="00B20B34">
      <w:rPr>
        <w:rFonts w:ascii="Times New Roman" w:hAnsi="Times New Roman" w:cs="Times New Roman"/>
        <w:sz w:val="24"/>
        <w:szCs w:val="24"/>
      </w:rPr>
      <w:t xml:space="preserve"> for Northern Ireland</w:t>
    </w:r>
    <w:r w:rsidRPr="00B20B34">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395EA1" w:rsidRPr="00395EA1">
        <w:rPr>
          <w:rFonts w:asciiTheme="majorHAnsi" w:hAnsiTheme="majorHAnsi"/>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AB" w:rsidRDefault="00E50FAB">
      <w:r>
        <w:separator/>
      </w:r>
    </w:p>
  </w:footnote>
  <w:footnote w:type="continuationSeparator" w:id="0">
    <w:p w:rsidR="00E50FAB" w:rsidRDefault="00E50FAB">
      <w:r>
        <w:continuationSeparator/>
      </w:r>
    </w:p>
  </w:footnote>
  <w:footnote w:id="1">
    <w:p w:rsidR="001C2AB2" w:rsidRPr="006E46FD" w:rsidRDefault="001C2AB2" w:rsidP="00232F2F">
      <w:pPr>
        <w:pStyle w:val="NoSpacing"/>
        <w:jc w:val="both"/>
        <w:rPr>
          <w:rFonts w:ascii="Times New Roman" w:hAnsi="Times New Roman" w:cs="Times New Roman"/>
          <w:sz w:val="18"/>
          <w:szCs w:val="18"/>
        </w:rPr>
      </w:pPr>
      <w:r w:rsidRPr="006E46FD">
        <w:rPr>
          <w:rStyle w:val="FootnoteReference"/>
          <w:rFonts w:ascii="Times New Roman" w:hAnsi="Times New Roman" w:cs="Times New Roman"/>
          <w:sz w:val="18"/>
          <w:szCs w:val="18"/>
        </w:rPr>
        <w:footnoteRef/>
      </w:r>
      <w:r w:rsidRPr="006E46FD">
        <w:rPr>
          <w:rFonts w:ascii="Times New Roman" w:hAnsi="Times New Roman" w:cs="Times New Roman"/>
          <w:sz w:val="18"/>
          <w:szCs w:val="18"/>
        </w:rPr>
        <w:t xml:space="preserve"> Administered by the Office for National Statistics (ONS)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20" w:rsidRDefault="00425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2" w:rsidRDefault="001C2AB2" w:rsidP="00E36A95">
    <w:pPr>
      <w:pStyle w:val="Header"/>
      <w:ind w:lef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20" w:rsidRDefault="00425E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2" w:rsidRDefault="001C2AB2" w:rsidP="00CB16C0">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2" w:rsidRPr="00044748" w:rsidRDefault="001C2AB2" w:rsidP="00044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75D"/>
    <w:multiLevelType w:val="hybridMultilevel"/>
    <w:tmpl w:val="4F8AE99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6BC58C7"/>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238E25E4"/>
    <w:multiLevelType w:val="hybridMultilevel"/>
    <w:tmpl w:val="C27CB8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3AA6813"/>
    <w:multiLevelType w:val="multilevel"/>
    <w:tmpl w:val="ECD43D9E"/>
    <w:lvl w:ilvl="0">
      <w:start w:val="1"/>
      <w:numFmt w:val="decimal"/>
      <w:lvlText w:val="%1."/>
      <w:lvlJc w:val="left"/>
      <w:pPr>
        <w:ind w:left="786" w:hanging="360"/>
      </w:pPr>
    </w:lvl>
    <w:lvl w:ilvl="1">
      <w:start w:val="10"/>
      <w:numFmt w:val="decimal"/>
      <w:isLgl/>
      <w:lvlText w:val="%1.%2"/>
      <w:lvlJc w:val="left"/>
      <w:pPr>
        <w:ind w:left="1434" w:hanging="1008"/>
      </w:pPr>
      <w:rPr>
        <w:rFonts w:hint="default"/>
      </w:rPr>
    </w:lvl>
    <w:lvl w:ilvl="2">
      <w:start w:val="2"/>
      <w:numFmt w:val="decimal"/>
      <w:isLgl/>
      <w:lvlText w:val="%1.%2.%3"/>
      <w:lvlJc w:val="left"/>
      <w:pPr>
        <w:ind w:left="1434" w:hanging="1008"/>
      </w:pPr>
      <w:rPr>
        <w:rFonts w:hint="default"/>
      </w:rPr>
    </w:lvl>
    <w:lvl w:ilvl="3">
      <w:start w:val="1"/>
      <w:numFmt w:val="decimal"/>
      <w:isLgl/>
      <w:lvlText w:val="%1.%2.%3.%4"/>
      <w:lvlJc w:val="left"/>
      <w:pPr>
        <w:ind w:left="1434" w:hanging="1008"/>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26124D5A"/>
    <w:multiLevelType w:val="hybridMultilevel"/>
    <w:tmpl w:val="5582C332"/>
    <w:lvl w:ilvl="0" w:tplc="08090001">
      <w:start w:val="1"/>
      <w:numFmt w:val="bullet"/>
      <w:lvlText w:val=""/>
      <w:lvlJc w:val="left"/>
      <w:pPr>
        <w:ind w:left="786" w:hanging="360"/>
      </w:pPr>
      <w:rPr>
        <w:rFonts w:ascii="Symbol" w:hAnsi="Symbol" w:hint="default"/>
      </w:rPr>
    </w:lvl>
    <w:lvl w:ilvl="1" w:tplc="2C52A376">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2D194887"/>
    <w:multiLevelType w:val="hybridMultilevel"/>
    <w:tmpl w:val="63E6F1A0"/>
    <w:lvl w:ilvl="0" w:tplc="2C52A376">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D2A5E2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E7E54BE"/>
    <w:multiLevelType w:val="hybridMultilevel"/>
    <w:tmpl w:val="8EE8D67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46CE7E11"/>
    <w:multiLevelType w:val="hybridMultilevel"/>
    <w:tmpl w:val="49CA1FB2"/>
    <w:lvl w:ilvl="0" w:tplc="690C60D8">
      <w:start w:val="1"/>
      <w:numFmt w:val="bullet"/>
      <w:lvlText w:val="•"/>
      <w:lvlJc w:val="left"/>
      <w:pPr>
        <w:tabs>
          <w:tab w:val="num" w:pos="720"/>
        </w:tabs>
        <w:ind w:left="720" w:hanging="360"/>
      </w:pPr>
      <w:rPr>
        <w:rFonts w:ascii="Arial" w:hAnsi="Arial" w:hint="default"/>
      </w:rPr>
    </w:lvl>
    <w:lvl w:ilvl="1" w:tplc="A860DB6A">
      <w:start w:val="1173"/>
      <w:numFmt w:val="bullet"/>
      <w:lvlText w:val="–"/>
      <w:lvlJc w:val="left"/>
      <w:pPr>
        <w:tabs>
          <w:tab w:val="num" w:pos="1440"/>
        </w:tabs>
        <w:ind w:left="1440" w:hanging="360"/>
      </w:pPr>
      <w:rPr>
        <w:rFonts w:ascii="Arial" w:hAnsi="Arial" w:hint="default"/>
      </w:rPr>
    </w:lvl>
    <w:lvl w:ilvl="2" w:tplc="22383A3C" w:tentative="1">
      <w:start w:val="1"/>
      <w:numFmt w:val="bullet"/>
      <w:lvlText w:val="•"/>
      <w:lvlJc w:val="left"/>
      <w:pPr>
        <w:tabs>
          <w:tab w:val="num" w:pos="2160"/>
        </w:tabs>
        <w:ind w:left="2160" w:hanging="360"/>
      </w:pPr>
      <w:rPr>
        <w:rFonts w:ascii="Arial" w:hAnsi="Arial" w:hint="default"/>
      </w:rPr>
    </w:lvl>
    <w:lvl w:ilvl="3" w:tplc="646E34D8" w:tentative="1">
      <w:start w:val="1"/>
      <w:numFmt w:val="bullet"/>
      <w:lvlText w:val="•"/>
      <w:lvlJc w:val="left"/>
      <w:pPr>
        <w:tabs>
          <w:tab w:val="num" w:pos="2880"/>
        </w:tabs>
        <w:ind w:left="2880" w:hanging="360"/>
      </w:pPr>
      <w:rPr>
        <w:rFonts w:ascii="Arial" w:hAnsi="Arial" w:hint="default"/>
      </w:rPr>
    </w:lvl>
    <w:lvl w:ilvl="4" w:tplc="C4F464F6" w:tentative="1">
      <w:start w:val="1"/>
      <w:numFmt w:val="bullet"/>
      <w:lvlText w:val="•"/>
      <w:lvlJc w:val="left"/>
      <w:pPr>
        <w:tabs>
          <w:tab w:val="num" w:pos="3600"/>
        </w:tabs>
        <w:ind w:left="3600" w:hanging="360"/>
      </w:pPr>
      <w:rPr>
        <w:rFonts w:ascii="Arial" w:hAnsi="Arial" w:hint="default"/>
      </w:rPr>
    </w:lvl>
    <w:lvl w:ilvl="5" w:tplc="910E72B6" w:tentative="1">
      <w:start w:val="1"/>
      <w:numFmt w:val="bullet"/>
      <w:lvlText w:val="•"/>
      <w:lvlJc w:val="left"/>
      <w:pPr>
        <w:tabs>
          <w:tab w:val="num" w:pos="4320"/>
        </w:tabs>
        <w:ind w:left="4320" w:hanging="360"/>
      </w:pPr>
      <w:rPr>
        <w:rFonts w:ascii="Arial" w:hAnsi="Arial" w:hint="default"/>
      </w:rPr>
    </w:lvl>
    <w:lvl w:ilvl="6" w:tplc="1422CC5E" w:tentative="1">
      <w:start w:val="1"/>
      <w:numFmt w:val="bullet"/>
      <w:lvlText w:val="•"/>
      <w:lvlJc w:val="left"/>
      <w:pPr>
        <w:tabs>
          <w:tab w:val="num" w:pos="5040"/>
        </w:tabs>
        <w:ind w:left="5040" w:hanging="360"/>
      </w:pPr>
      <w:rPr>
        <w:rFonts w:ascii="Arial" w:hAnsi="Arial" w:hint="default"/>
      </w:rPr>
    </w:lvl>
    <w:lvl w:ilvl="7" w:tplc="DC204A00" w:tentative="1">
      <w:start w:val="1"/>
      <w:numFmt w:val="bullet"/>
      <w:lvlText w:val="•"/>
      <w:lvlJc w:val="left"/>
      <w:pPr>
        <w:tabs>
          <w:tab w:val="num" w:pos="5760"/>
        </w:tabs>
        <w:ind w:left="5760" w:hanging="360"/>
      </w:pPr>
      <w:rPr>
        <w:rFonts w:ascii="Arial" w:hAnsi="Arial" w:hint="default"/>
      </w:rPr>
    </w:lvl>
    <w:lvl w:ilvl="8" w:tplc="742050DE" w:tentative="1">
      <w:start w:val="1"/>
      <w:numFmt w:val="bullet"/>
      <w:lvlText w:val="•"/>
      <w:lvlJc w:val="left"/>
      <w:pPr>
        <w:tabs>
          <w:tab w:val="num" w:pos="6480"/>
        </w:tabs>
        <w:ind w:left="6480" w:hanging="360"/>
      </w:pPr>
      <w:rPr>
        <w:rFonts w:ascii="Arial" w:hAnsi="Arial" w:hint="default"/>
      </w:rPr>
    </w:lvl>
  </w:abstractNum>
  <w:abstractNum w:abstractNumId="9">
    <w:nsid w:val="47403016"/>
    <w:multiLevelType w:val="hybridMultilevel"/>
    <w:tmpl w:val="0A3C05D4"/>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541B52CB"/>
    <w:multiLevelType w:val="multilevel"/>
    <w:tmpl w:val="09B0E8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FE736FD"/>
    <w:multiLevelType w:val="hybridMultilevel"/>
    <w:tmpl w:val="B2EC82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76F67C62"/>
    <w:multiLevelType w:val="hybridMultilevel"/>
    <w:tmpl w:val="4058E7CE"/>
    <w:lvl w:ilvl="0" w:tplc="2C52A376">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7E15375C"/>
    <w:multiLevelType w:val="multilevel"/>
    <w:tmpl w:val="8342FD1C"/>
    <w:lvl w:ilvl="0">
      <w:start w:val="1"/>
      <w:numFmt w:val="decimal"/>
      <w:lvlText w:val="%1."/>
      <w:lvlJc w:val="left"/>
      <w:pPr>
        <w:ind w:left="720" w:hanging="360"/>
      </w:pPr>
      <w:rPr>
        <w:color w:val="auto"/>
      </w:rPr>
    </w:lvl>
    <w:lvl w:ilvl="1">
      <w:start w:val="3"/>
      <w:numFmt w:val="decimal"/>
      <w:isLgl/>
      <w:lvlText w:val="%1.%2"/>
      <w:lvlJc w:val="left"/>
      <w:pPr>
        <w:ind w:left="1080" w:hanging="720"/>
      </w:pPr>
      <w:rPr>
        <w:rFonts w:hint="default"/>
        <w:color w:val="63639A"/>
      </w:rPr>
    </w:lvl>
    <w:lvl w:ilvl="2">
      <w:start w:val="3"/>
      <w:numFmt w:val="decimal"/>
      <w:isLgl/>
      <w:lvlText w:val="%1.%2.%3"/>
      <w:lvlJc w:val="left"/>
      <w:pPr>
        <w:ind w:left="1080" w:hanging="720"/>
      </w:pPr>
      <w:rPr>
        <w:rFonts w:hint="default"/>
        <w:color w:val="63639A"/>
      </w:rPr>
    </w:lvl>
    <w:lvl w:ilvl="3">
      <w:start w:val="1"/>
      <w:numFmt w:val="decimal"/>
      <w:isLgl/>
      <w:lvlText w:val="%1.%2.%3.%4"/>
      <w:lvlJc w:val="left"/>
      <w:pPr>
        <w:ind w:left="1080" w:hanging="720"/>
      </w:pPr>
      <w:rPr>
        <w:rFonts w:hint="default"/>
        <w:color w:val="63639A"/>
      </w:rPr>
    </w:lvl>
    <w:lvl w:ilvl="4">
      <w:start w:val="1"/>
      <w:numFmt w:val="decimal"/>
      <w:isLgl/>
      <w:lvlText w:val="%1.%2.%3.%4.%5"/>
      <w:lvlJc w:val="left"/>
      <w:pPr>
        <w:ind w:left="1440" w:hanging="1080"/>
      </w:pPr>
      <w:rPr>
        <w:rFonts w:hint="default"/>
        <w:color w:val="63639A"/>
      </w:rPr>
    </w:lvl>
    <w:lvl w:ilvl="5">
      <w:start w:val="1"/>
      <w:numFmt w:val="decimal"/>
      <w:isLgl/>
      <w:lvlText w:val="%1.%2.%3.%4.%5.%6"/>
      <w:lvlJc w:val="left"/>
      <w:pPr>
        <w:ind w:left="1440" w:hanging="1080"/>
      </w:pPr>
      <w:rPr>
        <w:rFonts w:hint="default"/>
        <w:color w:val="63639A"/>
      </w:rPr>
    </w:lvl>
    <w:lvl w:ilvl="6">
      <w:start w:val="1"/>
      <w:numFmt w:val="decimal"/>
      <w:isLgl/>
      <w:lvlText w:val="%1.%2.%3.%4.%5.%6.%7"/>
      <w:lvlJc w:val="left"/>
      <w:pPr>
        <w:ind w:left="1800" w:hanging="1440"/>
      </w:pPr>
      <w:rPr>
        <w:rFonts w:hint="default"/>
        <w:color w:val="63639A"/>
      </w:rPr>
    </w:lvl>
    <w:lvl w:ilvl="7">
      <w:start w:val="1"/>
      <w:numFmt w:val="decimal"/>
      <w:isLgl/>
      <w:lvlText w:val="%1.%2.%3.%4.%5.%6.%7.%8"/>
      <w:lvlJc w:val="left"/>
      <w:pPr>
        <w:ind w:left="1800" w:hanging="1440"/>
      </w:pPr>
      <w:rPr>
        <w:rFonts w:hint="default"/>
        <w:color w:val="63639A"/>
      </w:rPr>
    </w:lvl>
    <w:lvl w:ilvl="8">
      <w:start w:val="1"/>
      <w:numFmt w:val="decimal"/>
      <w:isLgl/>
      <w:lvlText w:val="%1.%2.%3.%4.%5.%6.%7.%8.%9"/>
      <w:lvlJc w:val="left"/>
      <w:pPr>
        <w:ind w:left="1800" w:hanging="1440"/>
      </w:pPr>
      <w:rPr>
        <w:rFonts w:hint="default"/>
        <w:color w:val="63639A"/>
      </w:rPr>
    </w:lvl>
  </w:abstractNum>
  <w:num w:numId="1">
    <w:abstractNumId w:val="1"/>
  </w:num>
  <w:num w:numId="2">
    <w:abstractNumId w:val="13"/>
  </w:num>
  <w:num w:numId="3">
    <w:abstractNumId w:val="6"/>
  </w:num>
  <w:num w:numId="4">
    <w:abstractNumId w:val="2"/>
  </w:num>
  <w:num w:numId="5">
    <w:abstractNumId w:val="9"/>
  </w:num>
  <w:num w:numId="6">
    <w:abstractNumId w:val="4"/>
  </w:num>
  <w:num w:numId="7">
    <w:abstractNumId w:val="0"/>
  </w:num>
  <w:num w:numId="8">
    <w:abstractNumId w:val="3"/>
  </w:num>
  <w:num w:numId="9">
    <w:abstractNumId w:val="8"/>
  </w:num>
  <w:num w:numId="10">
    <w:abstractNumId w:val="10"/>
  </w:num>
  <w:num w:numId="11">
    <w:abstractNumId w:val="7"/>
  </w:num>
  <w:num w:numId="12">
    <w:abstractNumId w:val="12"/>
  </w:num>
  <w:num w:numId="13">
    <w:abstractNumId w:val="5"/>
  </w:num>
  <w:num w:numId="1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F08"/>
  <w:defaultTabStop w:val="720"/>
  <w:drawingGridHorizontalSpacing w:val="57"/>
  <w:drawingGridVerticalSpacing w:val="57"/>
  <w:noPunctuationKerning/>
  <w:characterSpacingControl w:val="doNotCompress"/>
  <w:footnotePr>
    <w:footnote w:id="-1"/>
    <w:footnote w:id="0"/>
  </w:footnotePr>
  <w:endnotePr>
    <w:endnote w:id="-1"/>
    <w:endnote w:id="0"/>
  </w:endnotePr>
  <w:compat>
    <w:useFELayout/>
  </w:compat>
  <w:rsids>
    <w:rsidRoot w:val="006F6DE8"/>
    <w:rsid w:val="00004571"/>
    <w:rsid w:val="00005084"/>
    <w:rsid w:val="000065E0"/>
    <w:rsid w:val="0001022C"/>
    <w:rsid w:val="000112AD"/>
    <w:rsid w:val="00013E52"/>
    <w:rsid w:val="000141AF"/>
    <w:rsid w:val="00014A11"/>
    <w:rsid w:val="000150E7"/>
    <w:rsid w:val="000229B8"/>
    <w:rsid w:val="000232C1"/>
    <w:rsid w:val="000271DF"/>
    <w:rsid w:val="00027DAE"/>
    <w:rsid w:val="0003041D"/>
    <w:rsid w:val="000309A0"/>
    <w:rsid w:val="00034A2A"/>
    <w:rsid w:val="000353FA"/>
    <w:rsid w:val="00040394"/>
    <w:rsid w:val="00041BB6"/>
    <w:rsid w:val="00041D85"/>
    <w:rsid w:val="00043521"/>
    <w:rsid w:val="00043F60"/>
    <w:rsid w:val="00044748"/>
    <w:rsid w:val="00044790"/>
    <w:rsid w:val="00044A2F"/>
    <w:rsid w:val="00044E57"/>
    <w:rsid w:val="00047E1B"/>
    <w:rsid w:val="00047FE0"/>
    <w:rsid w:val="0005227C"/>
    <w:rsid w:val="00052B6E"/>
    <w:rsid w:val="00057651"/>
    <w:rsid w:val="00057E01"/>
    <w:rsid w:val="0006045C"/>
    <w:rsid w:val="00060D82"/>
    <w:rsid w:val="00061195"/>
    <w:rsid w:val="00063A42"/>
    <w:rsid w:val="000674B5"/>
    <w:rsid w:val="00067674"/>
    <w:rsid w:val="000709AE"/>
    <w:rsid w:val="0007543A"/>
    <w:rsid w:val="00076487"/>
    <w:rsid w:val="00080436"/>
    <w:rsid w:val="000807F3"/>
    <w:rsid w:val="00080CD4"/>
    <w:rsid w:val="0008184D"/>
    <w:rsid w:val="00082B9E"/>
    <w:rsid w:val="0008450F"/>
    <w:rsid w:val="00090673"/>
    <w:rsid w:val="00090E40"/>
    <w:rsid w:val="00091489"/>
    <w:rsid w:val="00091FA8"/>
    <w:rsid w:val="00093156"/>
    <w:rsid w:val="000969BB"/>
    <w:rsid w:val="000A0E63"/>
    <w:rsid w:val="000A15E7"/>
    <w:rsid w:val="000A7F93"/>
    <w:rsid w:val="000B01C1"/>
    <w:rsid w:val="000B15B2"/>
    <w:rsid w:val="000B2DF7"/>
    <w:rsid w:val="000B5A24"/>
    <w:rsid w:val="000B6182"/>
    <w:rsid w:val="000B75D3"/>
    <w:rsid w:val="000C0CA7"/>
    <w:rsid w:val="000C273E"/>
    <w:rsid w:val="000C2E75"/>
    <w:rsid w:val="000C4814"/>
    <w:rsid w:val="000C537D"/>
    <w:rsid w:val="000C5C9F"/>
    <w:rsid w:val="000C6745"/>
    <w:rsid w:val="000C67A1"/>
    <w:rsid w:val="000D047E"/>
    <w:rsid w:val="000D26B6"/>
    <w:rsid w:val="000D3570"/>
    <w:rsid w:val="000D565B"/>
    <w:rsid w:val="000E0800"/>
    <w:rsid w:val="000E2D65"/>
    <w:rsid w:val="000E2F57"/>
    <w:rsid w:val="000E4E59"/>
    <w:rsid w:val="000E545C"/>
    <w:rsid w:val="000E5C6A"/>
    <w:rsid w:val="000E6D7F"/>
    <w:rsid w:val="000F16E9"/>
    <w:rsid w:val="000F35C9"/>
    <w:rsid w:val="000F5332"/>
    <w:rsid w:val="001010F7"/>
    <w:rsid w:val="00103A72"/>
    <w:rsid w:val="00104CD8"/>
    <w:rsid w:val="001072D6"/>
    <w:rsid w:val="00107B2C"/>
    <w:rsid w:val="00115698"/>
    <w:rsid w:val="001175AA"/>
    <w:rsid w:val="00117A4B"/>
    <w:rsid w:val="001237CC"/>
    <w:rsid w:val="001259C8"/>
    <w:rsid w:val="00130F01"/>
    <w:rsid w:val="00134676"/>
    <w:rsid w:val="00135BCF"/>
    <w:rsid w:val="001404F7"/>
    <w:rsid w:val="00140B49"/>
    <w:rsid w:val="001436B6"/>
    <w:rsid w:val="00144099"/>
    <w:rsid w:val="0014790E"/>
    <w:rsid w:val="00147ECE"/>
    <w:rsid w:val="00151055"/>
    <w:rsid w:val="001519A5"/>
    <w:rsid w:val="00155550"/>
    <w:rsid w:val="00157017"/>
    <w:rsid w:val="00157DF3"/>
    <w:rsid w:val="00161762"/>
    <w:rsid w:val="00161C6B"/>
    <w:rsid w:val="001631FE"/>
    <w:rsid w:val="00163961"/>
    <w:rsid w:val="0017116B"/>
    <w:rsid w:val="00175499"/>
    <w:rsid w:val="00175921"/>
    <w:rsid w:val="00175DBB"/>
    <w:rsid w:val="00175FD6"/>
    <w:rsid w:val="001774A8"/>
    <w:rsid w:val="00177BBC"/>
    <w:rsid w:val="00182016"/>
    <w:rsid w:val="00182FCD"/>
    <w:rsid w:val="0018657C"/>
    <w:rsid w:val="001935E9"/>
    <w:rsid w:val="00195D2A"/>
    <w:rsid w:val="001A23E4"/>
    <w:rsid w:val="001A31AD"/>
    <w:rsid w:val="001A32E3"/>
    <w:rsid w:val="001A390E"/>
    <w:rsid w:val="001A3A52"/>
    <w:rsid w:val="001A7455"/>
    <w:rsid w:val="001B1800"/>
    <w:rsid w:val="001B18A1"/>
    <w:rsid w:val="001B1CB2"/>
    <w:rsid w:val="001B31F7"/>
    <w:rsid w:val="001B3428"/>
    <w:rsid w:val="001C2AB2"/>
    <w:rsid w:val="001C5A54"/>
    <w:rsid w:val="001C600D"/>
    <w:rsid w:val="001C6F28"/>
    <w:rsid w:val="001C70A7"/>
    <w:rsid w:val="001C7278"/>
    <w:rsid w:val="001C754A"/>
    <w:rsid w:val="001D07F4"/>
    <w:rsid w:val="001D0A96"/>
    <w:rsid w:val="001D4979"/>
    <w:rsid w:val="001E2B42"/>
    <w:rsid w:val="001E3A11"/>
    <w:rsid w:val="001E5163"/>
    <w:rsid w:val="001E594F"/>
    <w:rsid w:val="001F1441"/>
    <w:rsid w:val="001F74AC"/>
    <w:rsid w:val="00202425"/>
    <w:rsid w:val="002030EF"/>
    <w:rsid w:val="00205886"/>
    <w:rsid w:val="00205E30"/>
    <w:rsid w:val="00206435"/>
    <w:rsid w:val="00210A9F"/>
    <w:rsid w:val="00211307"/>
    <w:rsid w:val="00212B12"/>
    <w:rsid w:val="002140FF"/>
    <w:rsid w:val="0021537E"/>
    <w:rsid w:val="0021567D"/>
    <w:rsid w:val="00215FEA"/>
    <w:rsid w:val="00216D87"/>
    <w:rsid w:val="00220589"/>
    <w:rsid w:val="00225BB1"/>
    <w:rsid w:val="002261A7"/>
    <w:rsid w:val="0022710F"/>
    <w:rsid w:val="002275E2"/>
    <w:rsid w:val="00227D81"/>
    <w:rsid w:val="00231508"/>
    <w:rsid w:val="00231D77"/>
    <w:rsid w:val="00232F2F"/>
    <w:rsid w:val="00233B2C"/>
    <w:rsid w:val="00234844"/>
    <w:rsid w:val="002348AB"/>
    <w:rsid w:val="002367EB"/>
    <w:rsid w:val="00242E36"/>
    <w:rsid w:val="002441A7"/>
    <w:rsid w:val="00250C31"/>
    <w:rsid w:val="00254042"/>
    <w:rsid w:val="00256678"/>
    <w:rsid w:val="00256684"/>
    <w:rsid w:val="00256A9E"/>
    <w:rsid w:val="00256C23"/>
    <w:rsid w:val="00262951"/>
    <w:rsid w:val="0027110E"/>
    <w:rsid w:val="00272B90"/>
    <w:rsid w:val="00275DAD"/>
    <w:rsid w:val="00277EB4"/>
    <w:rsid w:val="00283521"/>
    <w:rsid w:val="002854A4"/>
    <w:rsid w:val="00287903"/>
    <w:rsid w:val="00287DDC"/>
    <w:rsid w:val="002918A1"/>
    <w:rsid w:val="00292E94"/>
    <w:rsid w:val="002A2A6F"/>
    <w:rsid w:val="002A2AD1"/>
    <w:rsid w:val="002A4780"/>
    <w:rsid w:val="002A72F3"/>
    <w:rsid w:val="002B04B2"/>
    <w:rsid w:val="002B4C85"/>
    <w:rsid w:val="002B5277"/>
    <w:rsid w:val="002B5529"/>
    <w:rsid w:val="002B698F"/>
    <w:rsid w:val="002B7F96"/>
    <w:rsid w:val="002C346D"/>
    <w:rsid w:val="002C663C"/>
    <w:rsid w:val="002D0C89"/>
    <w:rsid w:val="002D0D7C"/>
    <w:rsid w:val="002D20FA"/>
    <w:rsid w:val="002D25CD"/>
    <w:rsid w:val="002D4E97"/>
    <w:rsid w:val="002D71E0"/>
    <w:rsid w:val="002E2A17"/>
    <w:rsid w:val="002F1320"/>
    <w:rsid w:val="002F1469"/>
    <w:rsid w:val="002F35DD"/>
    <w:rsid w:val="002F51A7"/>
    <w:rsid w:val="002F5B50"/>
    <w:rsid w:val="002F6DF7"/>
    <w:rsid w:val="003015BD"/>
    <w:rsid w:val="00302B64"/>
    <w:rsid w:val="00302FD4"/>
    <w:rsid w:val="003048D5"/>
    <w:rsid w:val="00304E4D"/>
    <w:rsid w:val="00305DC8"/>
    <w:rsid w:val="003105EB"/>
    <w:rsid w:val="0031509F"/>
    <w:rsid w:val="00317491"/>
    <w:rsid w:val="0032041F"/>
    <w:rsid w:val="00320D71"/>
    <w:rsid w:val="00321232"/>
    <w:rsid w:val="00321419"/>
    <w:rsid w:val="00326297"/>
    <w:rsid w:val="003333B3"/>
    <w:rsid w:val="00334323"/>
    <w:rsid w:val="00337B7E"/>
    <w:rsid w:val="003408CE"/>
    <w:rsid w:val="00340C88"/>
    <w:rsid w:val="003425A3"/>
    <w:rsid w:val="003433A8"/>
    <w:rsid w:val="003464B3"/>
    <w:rsid w:val="00350B3F"/>
    <w:rsid w:val="00351596"/>
    <w:rsid w:val="00355EE4"/>
    <w:rsid w:val="0036054A"/>
    <w:rsid w:val="00361929"/>
    <w:rsid w:val="00363984"/>
    <w:rsid w:val="00364457"/>
    <w:rsid w:val="003647C2"/>
    <w:rsid w:val="00364D58"/>
    <w:rsid w:val="003717B0"/>
    <w:rsid w:val="00371B9A"/>
    <w:rsid w:val="00371C2D"/>
    <w:rsid w:val="003727C2"/>
    <w:rsid w:val="0037574E"/>
    <w:rsid w:val="003776CF"/>
    <w:rsid w:val="00377A84"/>
    <w:rsid w:val="00381D37"/>
    <w:rsid w:val="00382BEF"/>
    <w:rsid w:val="00383031"/>
    <w:rsid w:val="00384A38"/>
    <w:rsid w:val="00384A58"/>
    <w:rsid w:val="00390838"/>
    <w:rsid w:val="003922FA"/>
    <w:rsid w:val="003935C0"/>
    <w:rsid w:val="0039395F"/>
    <w:rsid w:val="00393AB9"/>
    <w:rsid w:val="00395DE9"/>
    <w:rsid w:val="00395EA1"/>
    <w:rsid w:val="00396445"/>
    <w:rsid w:val="00397BC4"/>
    <w:rsid w:val="003A0807"/>
    <w:rsid w:val="003A15E2"/>
    <w:rsid w:val="003B3D4B"/>
    <w:rsid w:val="003B51FC"/>
    <w:rsid w:val="003B7F8E"/>
    <w:rsid w:val="003C2905"/>
    <w:rsid w:val="003D01E3"/>
    <w:rsid w:val="003D0236"/>
    <w:rsid w:val="003D2237"/>
    <w:rsid w:val="003E2631"/>
    <w:rsid w:val="003E2960"/>
    <w:rsid w:val="003E2ED8"/>
    <w:rsid w:val="003E3ECF"/>
    <w:rsid w:val="003E6876"/>
    <w:rsid w:val="003F0438"/>
    <w:rsid w:val="003F0951"/>
    <w:rsid w:val="003F3FC9"/>
    <w:rsid w:val="003F6FCE"/>
    <w:rsid w:val="003F79E5"/>
    <w:rsid w:val="004052D9"/>
    <w:rsid w:val="004057B8"/>
    <w:rsid w:val="00410458"/>
    <w:rsid w:val="00410DE0"/>
    <w:rsid w:val="00414408"/>
    <w:rsid w:val="00414A37"/>
    <w:rsid w:val="00424D25"/>
    <w:rsid w:val="00425909"/>
    <w:rsid w:val="00425E20"/>
    <w:rsid w:val="004264C5"/>
    <w:rsid w:val="00427DC2"/>
    <w:rsid w:val="00435CE8"/>
    <w:rsid w:val="00435CEB"/>
    <w:rsid w:val="00445F50"/>
    <w:rsid w:val="00446B61"/>
    <w:rsid w:val="00447268"/>
    <w:rsid w:val="00447DCB"/>
    <w:rsid w:val="00451F09"/>
    <w:rsid w:val="00453918"/>
    <w:rsid w:val="004566D8"/>
    <w:rsid w:val="00457F8E"/>
    <w:rsid w:val="00461BDB"/>
    <w:rsid w:val="004623FB"/>
    <w:rsid w:val="0046381A"/>
    <w:rsid w:val="00467289"/>
    <w:rsid w:val="00467784"/>
    <w:rsid w:val="00471B03"/>
    <w:rsid w:val="00473042"/>
    <w:rsid w:val="00474743"/>
    <w:rsid w:val="0047613B"/>
    <w:rsid w:val="00476B82"/>
    <w:rsid w:val="004904DF"/>
    <w:rsid w:val="004905AF"/>
    <w:rsid w:val="00491C53"/>
    <w:rsid w:val="00491FAE"/>
    <w:rsid w:val="00492020"/>
    <w:rsid w:val="00492D04"/>
    <w:rsid w:val="0049616C"/>
    <w:rsid w:val="00497692"/>
    <w:rsid w:val="004976E6"/>
    <w:rsid w:val="00497C53"/>
    <w:rsid w:val="004A37BA"/>
    <w:rsid w:val="004A53F1"/>
    <w:rsid w:val="004A544B"/>
    <w:rsid w:val="004A639E"/>
    <w:rsid w:val="004A6655"/>
    <w:rsid w:val="004A6797"/>
    <w:rsid w:val="004B2C54"/>
    <w:rsid w:val="004B3CA5"/>
    <w:rsid w:val="004B48D0"/>
    <w:rsid w:val="004B5EBF"/>
    <w:rsid w:val="004B7C8A"/>
    <w:rsid w:val="004C202F"/>
    <w:rsid w:val="004C2B6C"/>
    <w:rsid w:val="004C5016"/>
    <w:rsid w:val="004C564C"/>
    <w:rsid w:val="004D17DE"/>
    <w:rsid w:val="004D25F3"/>
    <w:rsid w:val="004D6920"/>
    <w:rsid w:val="004E363C"/>
    <w:rsid w:val="004E3D5C"/>
    <w:rsid w:val="004E4D6F"/>
    <w:rsid w:val="004E5BEA"/>
    <w:rsid w:val="004E6492"/>
    <w:rsid w:val="004E7FE6"/>
    <w:rsid w:val="004F1EA5"/>
    <w:rsid w:val="004F424E"/>
    <w:rsid w:val="004F6188"/>
    <w:rsid w:val="004F66BF"/>
    <w:rsid w:val="004F673B"/>
    <w:rsid w:val="00502D6C"/>
    <w:rsid w:val="00505FF2"/>
    <w:rsid w:val="005120CF"/>
    <w:rsid w:val="00513896"/>
    <w:rsid w:val="005153FC"/>
    <w:rsid w:val="00521356"/>
    <w:rsid w:val="005229FA"/>
    <w:rsid w:val="005237DD"/>
    <w:rsid w:val="005316FA"/>
    <w:rsid w:val="00531982"/>
    <w:rsid w:val="00531D3A"/>
    <w:rsid w:val="0053206E"/>
    <w:rsid w:val="005340B1"/>
    <w:rsid w:val="00537285"/>
    <w:rsid w:val="0053778E"/>
    <w:rsid w:val="00540763"/>
    <w:rsid w:val="00542B7C"/>
    <w:rsid w:val="005445A9"/>
    <w:rsid w:val="00544C49"/>
    <w:rsid w:val="00546801"/>
    <w:rsid w:val="005479EB"/>
    <w:rsid w:val="005501F9"/>
    <w:rsid w:val="005535F8"/>
    <w:rsid w:val="005544EF"/>
    <w:rsid w:val="005619F2"/>
    <w:rsid w:val="0056378C"/>
    <w:rsid w:val="00567127"/>
    <w:rsid w:val="005704DA"/>
    <w:rsid w:val="005704EA"/>
    <w:rsid w:val="00572361"/>
    <w:rsid w:val="00573C65"/>
    <w:rsid w:val="00576B55"/>
    <w:rsid w:val="005902AD"/>
    <w:rsid w:val="00590338"/>
    <w:rsid w:val="0059330C"/>
    <w:rsid w:val="00596B5C"/>
    <w:rsid w:val="005A43B5"/>
    <w:rsid w:val="005A6CE0"/>
    <w:rsid w:val="005A7F01"/>
    <w:rsid w:val="005B06B1"/>
    <w:rsid w:val="005B1940"/>
    <w:rsid w:val="005B1E20"/>
    <w:rsid w:val="005B2412"/>
    <w:rsid w:val="005B4E62"/>
    <w:rsid w:val="005B5ECC"/>
    <w:rsid w:val="005B644A"/>
    <w:rsid w:val="005B7861"/>
    <w:rsid w:val="005B7886"/>
    <w:rsid w:val="005B79BC"/>
    <w:rsid w:val="005C1162"/>
    <w:rsid w:val="005C3F60"/>
    <w:rsid w:val="005C43FE"/>
    <w:rsid w:val="005C5F04"/>
    <w:rsid w:val="005D112A"/>
    <w:rsid w:val="005D18BB"/>
    <w:rsid w:val="005F0A43"/>
    <w:rsid w:val="005F2D60"/>
    <w:rsid w:val="005F3AC1"/>
    <w:rsid w:val="005F3D83"/>
    <w:rsid w:val="005F43F6"/>
    <w:rsid w:val="005F5FAF"/>
    <w:rsid w:val="005F6FE4"/>
    <w:rsid w:val="00600C52"/>
    <w:rsid w:val="00603198"/>
    <w:rsid w:val="00605710"/>
    <w:rsid w:val="00606617"/>
    <w:rsid w:val="00606DD9"/>
    <w:rsid w:val="00607F8F"/>
    <w:rsid w:val="006114E1"/>
    <w:rsid w:val="00611F16"/>
    <w:rsid w:val="00612A66"/>
    <w:rsid w:val="00613C5D"/>
    <w:rsid w:val="006155CF"/>
    <w:rsid w:val="006167E2"/>
    <w:rsid w:val="006176D2"/>
    <w:rsid w:val="0062276F"/>
    <w:rsid w:val="006227AC"/>
    <w:rsid w:val="006232C2"/>
    <w:rsid w:val="00624608"/>
    <w:rsid w:val="00624B67"/>
    <w:rsid w:val="00624B93"/>
    <w:rsid w:val="006262DB"/>
    <w:rsid w:val="00627155"/>
    <w:rsid w:val="00632F56"/>
    <w:rsid w:val="006345A1"/>
    <w:rsid w:val="00634A5E"/>
    <w:rsid w:val="00637D5F"/>
    <w:rsid w:val="00640581"/>
    <w:rsid w:val="0064104F"/>
    <w:rsid w:val="006415C6"/>
    <w:rsid w:val="00645099"/>
    <w:rsid w:val="006470F0"/>
    <w:rsid w:val="0065260D"/>
    <w:rsid w:val="00652EE1"/>
    <w:rsid w:val="00654C06"/>
    <w:rsid w:val="00655F89"/>
    <w:rsid w:val="006562E7"/>
    <w:rsid w:val="00656B36"/>
    <w:rsid w:val="006570A2"/>
    <w:rsid w:val="00661050"/>
    <w:rsid w:val="006621B2"/>
    <w:rsid w:val="00663F18"/>
    <w:rsid w:val="00666759"/>
    <w:rsid w:val="006705A4"/>
    <w:rsid w:val="00673AF4"/>
    <w:rsid w:val="00674BA7"/>
    <w:rsid w:val="00674F96"/>
    <w:rsid w:val="0067505B"/>
    <w:rsid w:val="0067585C"/>
    <w:rsid w:val="00675F02"/>
    <w:rsid w:val="006762E6"/>
    <w:rsid w:val="00677130"/>
    <w:rsid w:val="006801DF"/>
    <w:rsid w:val="006853B2"/>
    <w:rsid w:val="00686254"/>
    <w:rsid w:val="006865F8"/>
    <w:rsid w:val="00686B99"/>
    <w:rsid w:val="00695020"/>
    <w:rsid w:val="00695373"/>
    <w:rsid w:val="0069684B"/>
    <w:rsid w:val="006A041F"/>
    <w:rsid w:val="006A04FC"/>
    <w:rsid w:val="006A1228"/>
    <w:rsid w:val="006A140B"/>
    <w:rsid w:val="006B26C1"/>
    <w:rsid w:val="006B38E3"/>
    <w:rsid w:val="006B7FE8"/>
    <w:rsid w:val="006C0E3E"/>
    <w:rsid w:val="006C2828"/>
    <w:rsid w:val="006C43CE"/>
    <w:rsid w:val="006C51C9"/>
    <w:rsid w:val="006D1AB5"/>
    <w:rsid w:val="006D6023"/>
    <w:rsid w:val="006E1AB4"/>
    <w:rsid w:val="006E2FA0"/>
    <w:rsid w:val="006E46FD"/>
    <w:rsid w:val="006F0BA2"/>
    <w:rsid w:val="006F24B6"/>
    <w:rsid w:val="006F2C74"/>
    <w:rsid w:val="006F37CB"/>
    <w:rsid w:val="006F51B5"/>
    <w:rsid w:val="006F5F4C"/>
    <w:rsid w:val="006F6DE8"/>
    <w:rsid w:val="006F777A"/>
    <w:rsid w:val="006F7A2A"/>
    <w:rsid w:val="006F7F68"/>
    <w:rsid w:val="00700359"/>
    <w:rsid w:val="00701300"/>
    <w:rsid w:val="00701E4B"/>
    <w:rsid w:val="007029E8"/>
    <w:rsid w:val="00702FF9"/>
    <w:rsid w:val="00703A19"/>
    <w:rsid w:val="00706AD4"/>
    <w:rsid w:val="00707DC2"/>
    <w:rsid w:val="007108EF"/>
    <w:rsid w:val="00712BF3"/>
    <w:rsid w:val="00713311"/>
    <w:rsid w:val="00713EEC"/>
    <w:rsid w:val="00720972"/>
    <w:rsid w:val="00721FEF"/>
    <w:rsid w:val="007221C2"/>
    <w:rsid w:val="0072341F"/>
    <w:rsid w:val="00724F25"/>
    <w:rsid w:val="007265B3"/>
    <w:rsid w:val="00732075"/>
    <w:rsid w:val="00737135"/>
    <w:rsid w:val="00741B91"/>
    <w:rsid w:val="00744A99"/>
    <w:rsid w:val="007537FA"/>
    <w:rsid w:val="0075735A"/>
    <w:rsid w:val="007578C1"/>
    <w:rsid w:val="00760CBF"/>
    <w:rsid w:val="007636C4"/>
    <w:rsid w:val="0076546B"/>
    <w:rsid w:val="00766354"/>
    <w:rsid w:val="007668E8"/>
    <w:rsid w:val="00766957"/>
    <w:rsid w:val="00771AC0"/>
    <w:rsid w:val="00771B72"/>
    <w:rsid w:val="0077250C"/>
    <w:rsid w:val="00774968"/>
    <w:rsid w:val="00774D1B"/>
    <w:rsid w:val="00774E42"/>
    <w:rsid w:val="00775210"/>
    <w:rsid w:val="00777E08"/>
    <w:rsid w:val="00780EB6"/>
    <w:rsid w:val="00794F86"/>
    <w:rsid w:val="007A0955"/>
    <w:rsid w:val="007A2A7D"/>
    <w:rsid w:val="007A428C"/>
    <w:rsid w:val="007A4DED"/>
    <w:rsid w:val="007A5E91"/>
    <w:rsid w:val="007B160E"/>
    <w:rsid w:val="007B679C"/>
    <w:rsid w:val="007C004A"/>
    <w:rsid w:val="007C1296"/>
    <w:rsid w:val="007C160D"/>
    <w:rsid w:val="007C3DB8"/>
    <w:rsid w:val="007C3FF5"/>
    <w:rsid w:val="007C4032"/>
    <w:rsid w:val="007C5543"/>
    <w:rsid w:val="007C7CFA"/>
    <w:rsid w:val="007D031C"/>
    <w:rsid w:val="007D0D15"/>
    <w:rsid w:val="007D5E26"/>
    <w:rsid w:val="007D5E64"/>
    <w:rsid w:val="007E221B"/>
    <w:rsid w:val="007E500C"/>
    <w:rsid w:val="007E615F"/>
    <w:rsid w:val="007F3437"/>
    <w:rsid w:val="007F4DB1"/>
    <w:rsid w:val="007F4DE9"/>
    <w:rsid w:val="007F57EA"/>
    <w:rsid w:val="007F5A47"/>
    <w:rsid w:val="007F5C25"/>
    <w:rsid w:val="007F64F3"/>
    <w:rsid w:val="0080031F"/>
    <w:rsid w:val="00803975"/>
    <w:rsid w:val="008063F5"/>
    <w:rsid w:val="0080644C"/>
    <w:rsid w:val="00810F63"/>
    <w:rsid w:val="00815280"/>
    <w:rsid w:val="00815F35"/>
    <w:rsid w:val="008170EE"/>
    <w:rsid w:val="008213DC"/>
    <w:rsid w:val="0082616C"/>
    <w:rsid w:val="00827E3F"/>
    <w:rsid w:val="00830C9C"/>
    <w:rsid w:val="00833C6F"/>
    <w:rsid w:val="0083412E"/>
    <w:rsid w:val="00837A9A"/>
    <w:rsid w:val="00841282"/>
    <w:rsid w:val="00842D65"/>
    <w:rsid w:val="00844F88"/>
    <w:rsid w:val="00845B96"/>
    <w:rsid w:val="0085653E"/>
    <w:rsid w:val="008568FF"/>
    <w:rsid w:val="00860013"/>
    <w:rsid w:val="008603B5"/>
    <w:rsid w:val="00862524"/>
    <w:rsid w:val="008667AA"/>
    <w:rsid w:val="008679A6"/>
    <w:rsid w:val="00867BBB"/>
    <w:rsid w:val="00871087"/>
    <w:rsid w:val="00875B46"/>
    <w:rsid w:val="008775A9"/>
    <w:rsid w:val="00877B95"/>
    <w:rsid w:val="00881E8D"/>
    <w:rsid w:val="008820A8"/>
    <w:rsid w:val="00883786"/>
    <w:rsid w:val="008858BB"/>
    <w:rsid w:val="00886B23"/>
    <w:rsid w:val="0089084E"/>
    <w:rsid w:val="008927D0"/>
    <w:rsid w:val="008952F9"/>
    <w:rsid w:val="00896C31"/>
    <w:rsid w:val="008A2275"/>
    <w:rsid w:val="008A3744"/>
    <w:rsid w:val="008A5682"/>
    <w:rsid w:val="008A5F1A"/>
    <w:rsid w:val="008A6B86"/>
    <w:rsid w:val="008A7FA4"/>
    <w:rsid w:val="008B172E"/>
    <w:rsid w:val="008B24C0"/>
    <w:rsid w:val="008B3393"/>
    <w:rsid w:val="008B6FF3"/>
    <w:rsid w:val="008B788C"/>
    <w:rsid w:val="008C585D"/>
    <w:rsid w:val="008D006F"/>
    <w:rsid w:val="008D3FDB"/>
    <w:rsid w:val="008D4583"/>
    <w:rsid w:val="008D6736"/>
    <w:rsid w:val="008E52ED"/>
    <w:rsid w:val="008E5B1A"/>
    <w:rsid w:val="008E684D"/>
    <w:rsid w:val="008E7FAF"/>
    <w:rsid w:val="008F210D"/>
    <w:rsid w:val="008F4E91"/>
    <w:rsid w:val="008F4FE5"/>
    <w:rsid w:val="008F5426"/>
    <w:rsid w:val="008F66C6"/>
    <w:rsid w:val="008F7F34"/>
    <w:rsid w:val="00920438"/>
    <w:rsid w:val="00921986"/>
    <w:rsid w:val="00922FE6"/>
    <w:rsid w:val="0092707F"/>
    <w:rsid w:val="00931C60"/>
    <w:rsid w:val="009362BE"/>
    <w:rsid w:val="009379A7"/>
    <w:rsid w:val="00937C4E"/>
    <w:rsid w:val="009407E3"/>
    <w:rsid w:val="00942898"/>
    <w:rsid w:val="00947DA9"/>
    <w:rsid w:val="00951864"/>
    <w:rsid w:val="00951BC2"/>
    <w:rsid w:val="009521AC"/>
    <w:rsid w:val="00952F54"/>
    <w:rsid w:val="00953C12"/>
    <w:rsid w:val="00956AC0"/>
    <w:rsid w:val="00960BD9"/>
    <w:rsid w:val="00962329"/>
    <w:rsid w:val="00963BA2"/>
    <w:rsid w:val="00965736"/>
    <w:rsid w:val="00967222"/>
    <w:rsid w:val="00967567"/>
    <w:rsid w:val="00970CAD"/>
    <w:rsid w:val="00975BEB"/>
    <w:rsid w:val="00977306"/>
    <w:rsid w:val="00982294"/>
    <w:rsid w:val="009864E2"/>
    <w:rsid w:val="00986861"/>
    <w:rsid w:val="009878E8"/>
    <w:rsid w:val="00987EEF"/>
    <w:rsid w:val="00990882"/>
    <w:rsid w:val="00992876"/>
    <w:rsid w:val="00997D0D"/>
    <w:rsid w:val="00997DEC"/>
    <w:rsid w:val="009A07E5"/>
    <w:rsid w:val="009A331A"/>
    <w:rsid w:val="009A7AED"/>
    <w:rsid w:val="009B05F3"/>
    <w:rsid w:val="009B3D44"/>
    <w:rsid w:val="009B4699"/>
    <w:rsid w:val="009B7019"/>
    <w:rsid w:val="009C0B13"/>
    <w:rsid w:val="009C2937"/>
    <w:rsid w:val="009C5397"/>
    <w:rsid w:val="009C6CCC"/>
    <w:rsid w:val="009D0193"/>
    <w:rsid w:val="009D1AA3"/>
    <w:rsid w:val="009D3753"/>
    <w:rsid w:val="009D5272"/>
    <w:rsid w:val="009E212D"/>
    <w:rsid w:val="009E4B3A"/>
    <w:rsid w:val="009E540B"/>
    <w:rsid w:val="009F1280"/>
    <w:rsid w:val="009F2C8F"/>
    <w:rsid w:val="009F7C0E"/>
    <w:rsid w:val="00A0176B"/>
    <w:rsid w:val="00A02665"/>
    <w:rsid w:val="00A03872"/>
    <w:rsid w:val="00A04B8C"/>
    <w:rsid w:val="00A057B5"/>
    <w:rsid w:val="00A073D3"/>
    <w:rsid w:val="00A07EC3"/>
    <w:rsid w:val="00A105B9"/>
    <w:rsid w:val="00A11765"/>
    <w:rsid w:val="00A1300D"/>
    <w:rsid w:val="00A130E6"/>
    <w:rsid w:val="00A140EE"/>
    <w:rsid w:val="00A15226"/>
    <w:rsid w:val="00A207A3"/>
    <w:rsid w:val="00A244BC"/>
    <w:rsid w:val="00A256BC"/>
    <w:rsid w:val="00A32D96"/>
    <w:rsid w:val="00A3382C"/>
    <w:rsid w:val="00A339F4"/>
    <w:rsid w:val="00A43F58"/>
    <w:rsid w:val="00A457FF"/>
    <w:rsid w:val="00A50050"/>
    <w:rsid w:val="00A51AF6"/>
    <w:rsid w:val="00A52A70"/>
    <w:rsid w:val="00A53DE5"/>
    <w:rsid w:val="00A54338"/>
    <w:rsid w:val="00A5464F"/>
    <w:rsid w:val="00A55F6A"/>
    <w:rsid w:val="00A57369"/>
    <w:rsid w:val="00A61DFB"/>
    <w:rsid w:val="00A6313B"/>
    <w:rsid w:val="00A63B90"/>
    <w:rsid w:val="00A6542A"/>
    <w:rsid w:val="00A657C2"/>
    <w:rsid w:val="00A65B7C"/>
    <w:rsid w:val="00A66D45"/>
    <w:rsid w:val="00A66EF5"/>
    <w:rsid w:val="00A66F4F"/>
    <w:rsid w:val="00A70297"/>
    <w:rsid w:val="00A71EBE"/>
    <w:rsid w:val="00A75015"/>
    <w:rsid w:val="00A76022"/>
    <w:rsid w:val="00A826A3"/>
    <w:rsid w:val="00A829F4"/>
    <w:rsid w:val="00A86428"/>
    <w:rsid w:val="00A86D5E"/>
    <w:rsid w:val="00A878B6"/>
    <w:rsid w:val="00A914F5"/>
    <w:rsid w:val="00A96D98"/>
    <w:rsid w:val="00A97505"/>
    <w:rsid w:val="00A97D3C"/>
    <w:rsid w:val="00AA1FCA"/>
    <w:rsid w:val="00AA252B"/>
    <w:rsid w:val="00AA2FCE"/>
    <w:rsid w:val="00AA52DA"/>
    <w:rsid w:val="00AA62B7"/>
    <w:rsid w:val="00AB06C9"/>
    <w:rsid w:val="00AB1B9A"/>
    <w:rsid w:val="00AB2215"/>
    <w:rsid w:val="00AB5103"/>
    <w:rsid w:val="00AB59D7"/>
    <w:rsid w:val="00AB62E5"/>
    <w:rsid w:val="00AC198D"/>
    <w:rsid w:val="00AC412E"/>
    <w:rsid w:val="00AC46CC"/>
    <w:rsid w:val="00AC655A"/>
    <w:rsid w:val="00AC7276"/>
    <w:rsid w:val="00AC7EC0"/>
    <w:rsid w:val="00AD14A8"/>
    <w:rsid w:val="00AD5C77"/>
    <w:rsid w:val="00AD60D9"/>
    <w:rsid w:val="00AD6FF5"/>
    <w:rsid w:val="00AE1920"/>
    <w:rsid w:val="00AE1AC2"/>
    <w:rsid w:val="00AE4A1F"/>
    <w:rsid w:val="00AE4A78"/>
    <w:rsid w:val="00AF1EFC"/>
    <w:rsid w:val="00AF258C"/>
    <w:rsid w:val="00AF352F"/>
    <w:rsid w:val="00AF5334"/>
    <w:rsid w:val="00B05863"/>
    <w:rsid w:val="00B07D29"/>
    <w:rsid w:val="00B13466"/>
    <w:rsid w:val="00B15CE8"/>
    <w:rsid w:val="00B16554"/>
    <w:rsid w:val="00B1701B"/>
    <w:rsid w:val="00B20B34"/>
    <w:rsid w:val="00B21135"/>
    <w:rsid w:val="00B213FF"/>
    <w:rsid w:val="00B26CFF"/>
    <w:rsid w:val="00B279FE"/>
    <w:rsid w:val="00B34402"/>
    <w:rsid w:val="00B36D88"/>
    <w:rsid w:val="00B40900"/>
    <w:rsid w:val="00B40AC3"/>
    <w:rsid w:val="00B40B72"/>
    <w:rsid w:val="00B41210"/>
    <w:rsid w:val="00B415F9"/>
    <w:rsid w:val="00B41A04"/>
    <w:rsid w:val="00B4288F"/>
    <w:rsid w:val="00B42CA6"/>
    <w:rsid w:val="00B46FA3"/>
    <w:rsid w:val="00B471B2"/>
    <w:rsid w:val="00B4787F"/>
    <w:rsid w:val="00B5161B"/>
    <w:rsid w:val="00B518B5"/>
    <w:rsid w:val="00B51EA6"/>
    <w:rsid w:val="00B52413"/>
    <w:rsid w:val="00B553E1"/>
    <w:rsid w:val="00B55CEB"/>
    <w:rsid w:val="00B5780C"/>
    <w:rsid w:val="00B62861"/>
    <w:rsid w:val="00B62F3B"/>
    <w:rsid w:val="00B67B1C"/>
    <w:rsid w:val="00B70D92"/>
    <w:rsid w:val="00B76E36"/>
    <w:rsid w:val="00B815CB"/>
    <w:rsid w:val="00B923BD"/>
    <w:rsid w:val="00B93575"/>
    <w:rsid w:val="00B93D58"/>
    <w:rsid w:val="00B941B0"/>
    <w:rsid w:val="00B95465"/>
    <w:rsid w:val="00B96960"/>
    <w:rsid w:val="00BB29E4"/>
    <w:rsid w:val="00BB2B46"/>
    <w:rsid w:val="00BB2F3A"/>
    <w:rsid w:val="00BB4FB5"/>
    <w:rsid w:val="00BB6503"/>
    <w:rsid w:val="00BB65C8"/>
    <w:rsid w:val="00BB6788"/>
    <w:rsid w:val="00BB7178"/>
    <w:rsid w:val="00BC24C9"/>
    <w:rsid w:val="00BC53FD"/>
    <w:rsid w:val="00BC6956"/>
    <w:rsid w:val="00BD0575"/>
    <w:rsid w:val="00BD1523"/>
    <w:rsid w:val="00BD34F7"/>
    <w:rsid w:val="00BD7B2C"/>
    <w:rsid w:val="00BE1321"/>
    <w:rsid w:val="00BE28E6"/>
    <w:rsid w:val="00BE49BB"/>
    <w:rsid w:val="00BE7150"/>
    <w:rsid w:val="00BF2ABA"/>
    <w:rsid w:val="00BF2F00"/>
    <w:rsid w:val="00BF6C1B"/>
    <w:rsid w:val="00C005A2"/>
    <w:rsid w:val="00C01866"/>
    <w:rsid w:val="00C02A90"/>
    <w:rsid w:val="00C05D9B"/>
    <w:rsid w:val="00C0738C"/>
    <w:rsid w:val="00C101FE"/>
    <w:rsid w:val="00C12A71"/>
    <w:rsid w:val="00C1647A"/>
    <w:rsid w:val="00C20C4F"/>
    <w:rsid w:val="00C20E2F"/>
    <w:rsid w:val="00C21379"/>
    <w:rsid w:val="00C22184"/>
    <w:rsid w:val="00C222F8"/>
    <w:rsid w:val="00C22F64"/>
    <w:rsid w:val="00C23D94"/>
    <w:rsid w:val="00C25D0F"/>
    <w:rsid w:val="00C27458"/>
    <w:rsid w:val="00C32456"/>
    <w:rsid w:val="00C32C48"/>
    <w:rsid w:val="00C33C45"/>
    <w:rsid w:val="00C4178A"/>
    <w:rsid w:val="00C44AA5"/>
    <w:rsid w:val="00C56177"/>
    <w:rsid w:val="00C56B7D"/>
    <w:rsid w:val="00C62845"/>
    <w:rsid w:val="00C62955"/>
    <w:rsid w:val="00C62E57"/>
    <w:rsid w:val="00C63ACF"/>
    <w:rsid w:val="00C7018A"/>
    <w:rsid w:val="00C70F2D"/>
    <w:rsid w:val="00C77A12"/>
    <w:rsid w:val="00C829F2"/>
    <w:rsid w:val="00C83272"/>
    <w:rsid w:val="00C8563C"/>
    <w:rsid w:val="00C85A9A"/>
    <w:rsid w:val="00C875B5"/>
    <w:rsid w:val="00C9061B"/>
    <w:rsid w:val="00C907D5"/>
    <w:rsid w:val="00C941FB"/>
    <w:rsid w:val="00C95FBD"/>
    <w:rsid w:val="00CA3C5B"/>
    <w:rsid w:val="00CA7D0B"/>
    <w:rsid w:val="00CB16C0"/>
    <w:rsid w:val="00CB208F"/>
    <w:rsid w:val="00CB64E7"/>
    <w:rsid w:val="00CB6706"/>
    <w:rsid w:val="00CC2505"/>
    <w:rsid w:val="00CC2568"/>
    <w:rsid w:val="00CC3A15"/>
    <w:rsid w:val="00CD2FAB"/>
    <w:rsid w:val="00CD58F4"/>
    <w:rsid w:val="00CD5967"/>
    <w:rsid w:val="00CD7929"/>
    <w:rsid w:val="00CE0891"/>
    <w:rsid w:val="00CE0B6A"/>
    <w:rsid w:val="00CE2908"/>
    <w:rsid w:val="00CE2E71"/>
    <w:rsid w:val="00CE3F11"/>
    <w:rsid w:val="00CE4639"/>
    <w:rsid w:val="00CE48E8"/>
    <w:rsid w:val="00CE528B"/>
    <w:rsid w:val="00CE6A4E"/>
    <w:rsid w:val="00CF0690"/>
    <w:rsid w:val="00CF0D68"/>
    <w:rsid w:val="00CF1759"/>
    <w:rsid w:val="00CF17AD"/>
    <w:rsid w:val="00CF1F47"/>
    <w:rsid w:val="00CF3BCA"/>
    <w:rsid w:val="00D02BD1"/>
    <w:rsid w:val="00D05B1E"/>
    <w:rsid w:val="00D10CFD"/>
    <w:rsid w:val="00D11BE5"/>
    <w:rsid w:val="00D149F2"/>
    <w:rsid w:val="00D14B91"/>
    <w:rsid w:val="00D15644"/>
    <w:rsid w:val="00D2152F"/>
    <w:rsid w:val="00D22062"/>
    <w:rsid w:val="00D2212C"/>
    <w:rsid w:val="00D22C1B"/>
    <w:rsid w:val="00D24BDF"/>
    <w:rsid w:val="00D24D71"/>
    <w:rsid w:val="00D25C17"/>
    <w:rsid w:val="00D26AA3"/>
    <w:rsid w:val="00D26CAD"/>
    <w:rsid w:val="00D27058"/>
    <w:rsid w:val="00D30E3E"/>
    <w:rsid w:val="00D315AF"/>
    <w:rsid w:val="00D33502"/>
    <w:rsid w:val="00D33CF2"/>
    <w:rsid w:val="00D34762"/>
    <w:rsid w:val="00D37DF0"/>
    <w:rsid w:val="00D400B4"/>
    <w:rsid w:val="00D41B0A"/>
    <w:rsid w:val="00D42B4A"/>
    <w:rsid w:val="00D45F73"/>
    <w:rsid w:val="00D52427"/>
    <w:rsid w:val="00D53561"/>
    <w:rsid w:val="00D57A40"/>
    <w:rsid w:val="00D60EB0"/>
    <w:rsid w:val="00D662CB"/>
    <w:rsid w:val="00D66765"/>
    <w:rsid w:val="00D676D8"/>
    <w:rsid w:val="00D701C3"/>
    <w:rsid w:val="00D70C78"/>
    <w:rsid w:val="00D73E7E"/>
    <w:rsid w:val="00D74600"/>
    <w:rsid w:val="00D74A79"/>
    <w:rsid w:val="00D74BFA"/>
    <w:rsid w:val="00D767D6"/>
    <w:rsid w:val="00D807DC"/>
    <w:rsid w:val="00D80B60"/>
    <w:rsid w:val="00D82F51"/>
    <w:rsid w:val="00D84187"/>
    <w:rsid w:val="00D843C7"/>
    <w:rsid w:val="00D86E35"/>
    <w:rsid w:val="00D8719A"/>
    <w:rsid w:val="00D93128"/>
    <w:rsid w:val="00D9544F"/>
    <w:rsid w:val="00D966A5"/>
    <w:rsid w:val="00D97CE1"/>
    <w:rsid w:val="00DA0317"/>
    <w:rsid w:val="00DA1237"/>
    <w:rsid w:val="00DA22DB"/>
    <w:rsid w:val="00DA2370"/>
    <w:rsid w:val="00DA2875"/>
    <w:rsid w:val="00DB0F1A"/>
    <w:rsid w:val="00DB2A8E"/>
    <w:rsid w:val="00DB69A7"/>
    <w:rsid w:val="00DC0E8B"/>
    <w:rsid w:val="00DC17FB"/>
    <w:rsid w:val="00DC299A"/>
    <w:rsid w:val="00DC54D8"/>
    <w:rsid w:val="00DC5BAA"/>
    <w:rsid w:val="00DC6915"/>
    <w:rsid w:val="00DC6CB0"/>
    <w:rsid w:val="00DD28A9"/>
    <w:rsid w:val="00DD6DF6"/>
    <w:rsid w:val="00DE0456"/>
    <w:rsid w:val="00DE055C"/>
    <w:rsid w:val="00DE10A5"/>
    <w:rsid w:val="00DE116F"/>
    <w:rsid w:val="00DE1B6C"/>
    <w:rsid w:val="00DE3CD7"/>
    <w:rsid w:val="00DE7260"/>
    <w:rsid w:val="00DE75DD"/>
    <w:rsid w:val="00DE7CD0"/>
    <w:rsid w:val="00DE7E83"/>
    <w:rsid w:val="00DF0EF9"/>
    <w:rsid w:val="00DF1180"/>
    <w:rsid w:val="00DF2C17"/>
    <w:rsid w:val="00DF3EA9"/>
    <w:rsid w:val="00DF440D"/>
    <w:rsid w:val="00DF4748"/>
    <w:rsid w:val="00DF4FE2"/>
    <w:rsid w:val="00E015F0"/>
    <w:rsid w:val="00E0287E"/>
    <w:rsid w:val="00E04CE1"/>
    <w:rsid w:val="00E12328"/>
    <w:rsid w:val="00E12806"/>
    <w:rsid w:val="00E132BE"/>
    <w:rsid w:val="00E204E4"/>
    <w:rsid w:val="00E22B7F"/>
    <w:rsid w:val="00E24487"/>
    <w:rsid w:val="00E258CD"/>
    <w:rsid w:val="00E26BDB"/>
    <w:rsid w:val="00E301B0"/>
    <w:rsid w:val="00E31374"/>
    <w:rsid w:val="00E31F22"/>
    <w:rsid w:val="00E32601"/>
    <w:rsid w:val="00E34D1F"/>
    <w:rsid w:val="00E354D8"/>
    <w:rsid w:val="00E35541"/>
    <w:rsid w:val="00E36252"/>
    <w:rsid w:val="00E3698C"/>
    <w:rsid w:val="00E36A95"/>
    <w:rsid w:val="00E40463"/>
    <w:rsid w:val="00E415EE"/>
    <w:rsid w:val="00E4253A"/>
    <w:rsid w:val="00E435FF"/>
    <w:rsid w:val="00E439B8"/>
    <w:rsid w:val="00E43B1B"/>
    <w:rsid w:val="00E44F68"/>
    <w:rsid w:val="00E45080"/>
    <w:rsid w:val="00E451D9"/>
    <w:rsid w:val="00E47B8F"/>
    <w:rsid w:val="00E50FAB"/>
    <w:rsid w:val="00E517FE"/>
    <w:rsid w:val="00E53EF6"/>
    <w:rsid w:val="00E54385"/>
    <w:rsid w:val="00E551DA"/>
    <w:rsid w:val="00E6111C"/>
    <w:rsid w:val="00E62D37"/>
    <w:rsid w:val="00E657CE"/>
    <w:rsid w:val="00E71A97"/>
    <w:rsid w:val="00E71E6B"/>
    <w:rsid w:val="00E73E15"/>
    <w:rsid w:val="00E75D7B"/>
    <w:rsid w:val="00E7607F"/>
    <w:rsid w:val="00E77B26"/>
    <w:rsid w:val="00E80D70"/>
    <w:rsid w:val="00E81E33"/>
    <w:rsid w:val="00E82B17"/>
    <w:rsid w:val="00E82D18"/>
    <w:rsid w:val="00E83B4D"/>
    <w:rsid w:val="00E850C6"/>
    <w:rsid w:val="00E857E8"/>
    <w:rsid w:val="00E859BD"/>
    <w:rsid w:val="00E90086"/>
    <w:rsid w:val="00E97214"/>
    <w:rsid w:val="00E97AA1"/>
    <w:rsid w:val="00EA0D39"/>
    <w:rsid w:val="00EA35BE"/>
    <w:rsid w:val="00EA3A8A"/>
    <w:rsid w:val="00EB11EF"/>
    <w:rsid w:val="00EB17FA"/>
    <w:rsid w:val="00EB1E48"/>
    <w:rsid w:val="00EB2735"/>
    <w:rsid w:val="00EB277A"/>
    <w:rsid w:val="00EB409D"/>
    <w:rsid w:val="00EB4436"/>
    <w:rsid w:val="00EC12F2"/>
    <w:rsid w:val="00EC2C22"/>
    <w:rsid w:val="00EC4CCA"/>
    <w:rsid w:val="00ED1BC1"/>
    <w:rsid w:val="00ED2841"/>
    <w:rsid w:val="00ED6FDD"/>
    <w:rsid w:val="00EE16A4"/>
    <w:rsid w:val="00EE17A5"/>
    <w:rsid w:val="00EE1B60"/>
    <w:rsid w:val="00EE504A"/>
    <w:rsid w:val="00EE580D"/>
    <w:rsid w:val="00EF0ED4"/>
    <w:rsid w:val="00EF2392"/>
    <w:rsid w:val="00EF368F"/>
    <w:rsid w:val="00EF3CA3"/>
    <w:rsid w:val="00EF7999"/>
    <w:rsid w:val="00F02A94"/>
    <w:rsid w:val="00F0611B"/>
    <w:rsid w:val="00F16333"/>
    <w:rsid w:val="00F16A25"/>
    <w:rsid w:val="00F17E35"/>
    <w:rsid w:val="00F21DBE"/>
    <w:rsid w:val="00F21FE7"/>
    <w:rsid w:val="00F2227B"/>
    <w:rsid w:val="00F22B41"/>
    <w:rsid w:val="00F22F78"/>
    <w:rsid w:val="00F230BE"/>
    <w:rsid w:val="00F33718"/>
    <w:rsid w:val="00F37466"/>
    <w:rsid w:val="00F37BD8"/>
    <w:rsid w:val="00F41C7D"/>
    <w:rsid w:val="00F424D0"/>
    <w:rsid w:val="00F43FE9"/>
    <w:rsid w:val="00F4531C"/>
    <w:rsid w:val="00F54DC8"/>
    <w:rsid w:val="00F57613"/>
    <w:rsid w:val="00F64F42"/>
    <w:rsid w:val="00F67EFA"/>
    <w:rsid w:val="00F72F7E"/>
    <w:rsid w:val="00F746E3"/>
    <w:rsid w:val="00F7594A"/>
    <w:rsid w:val="00F77223"/>
    <w:rsid w:val="00F80AC0"/>
    <w:rsid w:val="00F80C23"/>
    <w:rsid w:val="00F8107B"/>
    <w:rsid w:val="00F81DC3"/>
    <w:rsid w:val="00F82470"/>
    <w:rsid w:val="00F8516C"/>
    <w:rsid w:val="00F87687"/>
    <w:rsid w:val="00F879B6"/>
    <w:rsid w:val="00F87A37"/>
    <w:rsid w:val="00F9062C"/>
    <w:rsid w:val="00F9098B"/>
    <w:rsid w:val="00F90FB2"/>
    <w:rsid w:val="00F934D3"/>
    <w:rsid w:val="00F96684"/>
    <w:rsid w:val="00FA49C0"/>
    <w:rsid w:val="00FA785D"/>
    <w:rsid w:val="00FB0929"/>
    <w:rsid w:val="00FB4F85"/>
    <w:rsid w:val="00FB6564"/>
    <w:rsid w:val="00FB7E39"/>
    <w:rsid w:val="00FC200A"/>
    <w:rsid w:val="00FD0B7F"/>
    <w:rsid w:val="00FD32C0"/>
    <w:rsid w:val="00FD3486"/>
    <w:rsid w:val="00FD5374"/>
    <w:rsid w:val="00FD5ADC"/>
    <w:rsid w:val="00FE145E"/>
    <w:rsid w:val="00FE18B5"/>
    <w:rsid w:val="00FE2230"/>
    <w:rsid w:val="00FE5DBE"/>
    <w:rsid w:val="00FE5DE8"/>
    <w:rsid w:val="00FE6DF4"/>
    <w:rsid w:val="00FF059D"/>
    <w:rsid w:val="00FF0AFE"/>
    <w:rsid w:val="00FF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CD"/>
  </w:style>
  <w:style w:type="paragraph" w:styleId="Heading1">
    <w:name w:val="heading 1"/>
    <w:basedOn w:val="Normal"/>
    <w:next w:val="Normal"/>
    <w:link w:val="Heading1Char"/>
    <w:uiPriority w:val="9"/>
    <w:qFormat/>
    <w:rsid w:val="00B20B34"/>
    <w:pPr>
      <w:keepNext/>
      <w:keepLines/>
      <w:numPr>
        <w:numId w:val="3"/>
      </w:numPr>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E258CD"/>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8CD"/>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58C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58C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258C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258C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258CD"/>
    <w:pPr>
      <w:keepNext/>
      <w:keepLines/>
      <w:numPr>
        <w:ilvl w:val="7"/>
        <w:numId w:val="3"/>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E258C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778E"/>
    <w:rPr>
      <w:color w:val="0000FF"/>
      <w:u w:val="single"/>
    </w:rPr>
  </w:style>
  <w:style w:type="character" w:styleId="FollowedHyperlink">
    <w:name w:val="FollowedHyperlink"/>
    <w:basedOn w:val="DefaultParagraphFont"/>
    <w:uiPriority w:val="99"/>
    <w:rsid w:val="00040394"/>
    <w:rPr>
      <w:color w:val="800080"/>
      <w:u w:val="single"/>
    </w:rPr>
  </w:style>
  <w:style w:type="paragraph" w:styleId="Footer">
    <w:name w:val="footer"/>
    <w:basedOn w:val="Normal"/>
    <w:link w:val="FooterChar"/>
    <w:uiPriority w:val="99"/>
    <w:rsid w:val="00390838"/>
    <w:pPr>
      <w:tabs>
        <w:tab w:val="center" w:pos="4153"/>
        <w:tab w:val="right" w:pos="8306"/>
      </w:tabs>
    </w:pPr>
  </w:style>
  <w:style w:type="character" w:styleId="PageNumber">
    <w:name w:val="page number"/>
    <w:basedOn w:val="DefaultParagraphFont"/>
    <w:rsid w:val="00390838"/>
  </w:style>
  <w:style w:type="table" w:styleId="TableClassic1">
    <w:name w:val="Table Classic 1"/>
    <w:basedOn w:val="TableNormal"/>
    <w:rsid w:val="00476B8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E258CD"/>
    <w:pPr>
      <w:spacing w:line="240" w:lineRule="auto"/>
    </w:pPr>
    <w:rPr>
      <w:b/>
      <w:bCs/>
      <w:color w:val="4F81BD" w:themeColor="accent1"/>
      <w:sz w:val="18"/>
      <w:szCs w:val="18"/>
    </w:rPr>
  </w:style>
  <w:style w:type="paragraph" w:styleId="Header">
    <w:name w:val="header"/>
    <w:basedOn w:val="Normal"/>
    <w:link w:val="HeaderChar"/>
    <w:uiPriority w:val="99"/>
    <w:rsid w:val="00DC17FB"/>
    <w:pPr>
      <w:tabs>
        <w:tab w:val="center" w:pos="4153"/>
        <w:tab w:val="right" w:pos="8306"/>
      </w:tabs>
    </w:pPr>
  </w:style>
  <w:style w:type="table" w:styleId="TableGrid">
    <w:name w:val="Table Grid"/>
    <w:basedOn w:val="TableNormal"/>
    <w:uiPriority w:val="59"/>
    <w:rsid w:val="008927D0"/>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425909"/>
    <w:pPr>
      <w:spacing w:before="360"/>
    </w:pPr>
    <w:rPr>
      <w:rFonts w:ascii="Arial" w:hAnsi="Arial" w:cs="Arial"/>
      <w:b/>
      <w:bCs/>
      <w:caps/>
    </w:rPr>
  </w:style>
  <w:style w:type="paragraph" w:styleId="TOC2">
    <w:name w:val="toc 2"/>
    <w:basedOn w:val="Normal"/>
    <w:next w:val="Normal"/>
    <w:autoRedefine/>
    <w:uiPriority w:val="39"/>
    <w:rsid w:val="00425909"/>
    <w:pPr>
      <w:spacing w:before="240"/>
    </w:pPr>
    <w:rPr>
      <w:b/>
      <w:bCs/>
      <w:sz w:val="20"/>
      <w:szCs w:val="20"/>
    </w:rPr>
  </w:style>
  <w:style w:type="paragraph" w:styleId="TOC3">
    <w:name w:val="toc 3"/>
    <w:basedOn w:val="Normal"/>
    <w:next w:val="Normal"/>
    <w:autoRedefine/>
    <w:uiPriority w:val="39"/>
    <w:rsid w:val="00425909"/>
    <w:pPr>
      <w:ind w:left="240"/>
    </w:pPr>
    <w:rPr>
      <w:sz w:val="20"/>
      <w:szCs w:val="20"/>
    </w:rPr>
  </w:style>
  <w:style w:type="paragraph" w:styleId="TOC4">
    <w:name w:val="toc 4"/>
    <w:basedOn w:val="Normal"/>
    <w:next w:val="Normal"/>
    <w:autoRedefine/>
    <w:semiHidden/>
    <w:rsid w:val="006B7FE8"/>
    <w:pPr>
      <w:ind w:left="480"/>
    </w:pPr>
    <w:rPr>
      <w:sz w:val="20"/>
      <w:szCs w:val="20"/>
    </w:rPr>
  </w:style>
  <w:style w:type="paragraph" w:styleId="TOC5">
    <w:name w:val="toc 5"/>
    <w:basedOn w:val="Normal"/>
    <w:next w:val="Normal"/>
    <w:autoRedefine/>
    <w:semiHidden/>
    <w:rsid w:val="006B7FE8"/>
    <w:pPr>
      <w:ind w:left="720"/>
    </w:pPr>
    <w:rPr>
      <w:sz w:val="20"/>
      <w:szCs w:val="20"/>
    </w:rPr>
  </w:style>
  <w:style w:type="paragraph" w:styleId="TOC6">
    <w:name w:val="toc 6"/>
    <w:basedOn w:val="Normal"/>
    <w:next w:val="Normal"/>
    <w:autoRedefine/>
    <w:semiHidden/>
    <w:rsid w:val="006B7FE8"/>
    <w:pPr>
      <w:ind w:left="960"/>
    </w:pPr>
    <w:rPr>
      <w:sz w:val="20"/>
      <w:szCs w:val="20"/>
    </w:rPr>
  </w:style>
  <w:style w:type="paragraph" w:styleId="TOC7">
    <w:name w:val="toc 7"/>
    <w:basedOn w:val="Normal"/>
    <w:next w:val="Normal"/>
    <w:autoRedefine/>
    <w:semiHidden/>
    <w:rsid w:val="006B7FE8"/>
    <w:pPr>
      <w:ind w:left="1200"/>
    </w:pPr>
    <w:rPr>
      <w:sz w:val="20"/>
      <w:szCs w:val="20"/>
    </w:rPr>
  </w:style>
  <w:style w:type="paragraph" w:styleId="TOC8">
    <w:name w:val="toc 8"/>
    <w:basedOn w:val="Normal"/>
    <w:next w:val="Normal"/>
    <w:autoRedefine/>
    <w:semiHidden/>
    <w:rsid w:val="006B7FE8"/>
    <w:pPr>
      <w:ind w:left="1440"/>
    </w:pPr>
    <w:rPr>
      <w:sz w:val="20"/>
      <w:szCs w:val="20"/>
    </w:rPr>
  </w:style>
  <w:style w:type="paragraph" w:styleId="TOC9">
    <w:name w:val="toc 9"/>
    <w:basedOn w:val="Normal"/>
    <w:next w:val="Normal"/>
    <w:autoRedefine/>
    <w:semiHidden/>
    <w:rsid w:val="006B7FE8"/>
    <w:pPr>
      <w:ind w:left="1680"/>
    </w:pPr>
    <w:rPr>
      <w:sz w:val="20"/>
      <w:szCs w:val="20"/>
    </w:rPr>
  </w:style>
  <w:style w:type="paragraph" w:styleId="Title">
    <w:name w:val="Title"/>
    <w:basedOn w:val="Normal"/>
    <w:next w:val="Normal"/>
    <w:link w:val="TitleChar"/>
    <w:uiPriority w:val="10"/>
    <w:qFormat/>
    <w:rsid w:val="00E258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258CD"/>
    <w:pPr>
      <w:ind w:left="720"/>
      <w:contextualSpacing/>
    </w:pPr>
  </w:style>
  <w:style w:type="character" w:customStyle="1" w:styleId="LETableText">
    <w:name w:val="LE Table Text"/>
    <w:basedOn w:val="DefaultParagraphFont"/>
    <w:rsid w:val="00774D1B"/>
    <w:rPr>
      <w:rFonts w:ascii="Calibri" w:hAnsi="Calibri" w:cs="Times New Roman"/>
      <w:sz w:val="20"/>
    </w:rPr>
  </w:style>
  <w:style w:type="paragraph" w:customStyle="1" w:styleId="LECaption">
    <w:name w:val="LE Caption"/>
    <w:basedOn w:val="Normal"/>
    <w:rsid w:val="00774D1B"/>
    <w:pPr>
      <w:keepNext/>
      <w:keepLines/>
      <w:tabs>
        <w:tab w:val="left" w:pos="906"/>
      </w:tabs>
      <w:spacing w:before="60" w:after="60"/>
      <w:ind w:left="906" w:hanging="906"/>
    </w:pPr>
    <w:rPr>
      <w:rFonts w:cs="Microsoft Sans Serif"/>
      <w:b/>
      <w:color w:val="FFFFFF"/>
    </w:rPr>
  </w:style>
  <w:style w:type="character" w:customStyle="1" w:styleId="LETableHeading">
    <w:name w:val="LE Table Heading"/>
    <w:basedOn w:val="DefaultParagraphFont"/>
    <w:rsid w:val="00774D1B"/>
    <w:rPr>
      <w:rFonts w:ascii="Calibri" w:hAnsi="Calibri" w:cs="Times New Roman"/>
      <w:b/>
      <w:color w:val="244890"/>
      <w:sz w:val="20"/>
      <w:vertAlign w:val="baseline"/>
    </w:rPr>
  </w:style>
  <w:style w:type="paragraph" w:customStyle="1" w:styleId="CM90">
    <w:name w:val="CM90"/>
    <w:basedOn w:val="Normal"/>
    <w:next w:val="Normal"/>
    <w:uiPriority w:val="99"/>
    <w:rsid w:val="00A130E6"/>
    <w:pPr>
      <w:autoSpaceDE w:val="0"/>
      <w:autoSpaceDN w:val="0"/>
      <w:adjustRightInd w:val="0"/>
    </w:pPr>
    <w:rPr>
      <w:rFonts w:ascii="Arial" w:eastAsia="Calibri" w:hAnsi="Arial" w:cs="Arial"/>
    </w:rPr>
  </w:style>
  <w:style w:type="paragraph" w:styleId="FootnoteText">
    <w:name w:val="footnote text"/>
    <w:basedOn w:val="Normal"/>
    <w:link w:val="FootnoteTextChar"/>
    <w:uiPriority w:val="99"/>
    <w:semiHidden/>
    <w:unhideWhenUsed/>
    <w:rsid w:val="006762E6"/>
    <w:rPr>
      <w:sz w:val="20"/>
      <w:szCs w:val="20"/>
    </w:rPr>
  </w:style>
  <w:style w:type="character" w:customStyle="1" w:styleId="FootnoteTextChar">
    <w:name w:val="Footnote Text Char"/>
    <w:basedOn w:val="DefaultParagraphFont"/>
    <w:link w:val="FootnoteText"/>
    <w:uiPriority w:val="99"/>
    <w:semiHidden/>
    <w:rsid w:val="006762E6"/>
  </w:style>
  <w:style w:type="character" w:styleId="FootnoteReference">
    <w:name w:val="footnote reference"/>
    <w:basedOn w:val="DefaultParagraphFont"/>
    <w:uiPriority w:val="99"/>
    <w:semiHidden/>
    <w:unhideWhenUsed/>
    <w:rsid w:val="006762E6"/>
    <w:rPr>
      <w:vertAlign w:val="superscript"/>
    </w:rPr>
  </w:style>
  <w:style w:type="character" w:styleId="BookTitle">
    <w:name w:val="Book Title"/>
    <w:basedOn w:val="DefaultParagraphFont"/>
    <w:uiPriority w:val="33"/>
    <w:qFormat/>
    <w:rsid w:val="00E258CD"/>
    <w:rPr>
      <w:b/>
      <w:bCs/>
      <w:smallCaps/>
      <w:spacing w:val="5"/>
    </w:rPr>
  </w:style>
  <w:style w:type="character" w:customStyle="1" w:styleId="Heading1Char">
    <w:name w:val="Heading 1 Char"/>
    <w:basedOn w:val="DefaultParagraphFont"/>
    <w:link w:val="Heading1"/>
    <w:uiPriority w:val="9"/>
    <w:rsid w:val="00B20B34"/>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E25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58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58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258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258C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258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258C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258C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E258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258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58C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258CD"/>
    <w:rPr>
      <w:b/>
      <w:bCs/>
    </w:rPr>
  </w:style>
  <w:style w:type="character" w:styleId="Emphasis">
    <w:name w:val="Emphasis"/>
    <w:basedOn w:val="DefaultParagraphFont"/>
    <w:uiPriority w:val="20"/>
    <w:qFormat/>
    <w:rsid w:val="00E258CD"/>
    <w:rPr>
      <w:i/>
      <w:iCs/>
    </w:rPr>
  </w:style>
  <w:style w:type="paragraph" w:styleId="NoSpacing">
    <w:name w:val="No Spacing"/>
    <w:link w:val="NoSpacingChar"/>
    <w:uiPriority w:val="1"/>
    <w:qFormat/>
    <w:rsid w:val="00E258CD"/>
    <w:pPr>
      <w:spacing w:after="0" w:line="240" w:lineRule="auto"/>
    </w:pPr>
  </w:style>
  <w:style w:type="character" w:customStyle="1" w:styleId="NoSpacingChar">
    <w:name w:val="No Spacing Char"/>
    <w:basedOn w:val="DefaultParagraphFont"/>
    <w:link w:val="NoSpacing"/>
    <w:uiPriority w:val="1"/>
    <w:rsid w:val="00E258CD"/>
  </w:style>
  <w:style w:type="paragraph" w:styleId="Quote">
    <w:name w:val="Quote"/>
    <w:basedOn w:val="Normal"/>
    <w:next w:val="Normal"/>
    <w:link w:val="QuoteChar"/>
    <w:uiPriority w:val="29"/>
    <w:qFormat/>
    <w:rsid w:val="00E258CD"/>
    <w:rPr>
      <w:i/>
      <w:iCs/>
      <w:color w:val="000000" w:themeColor="text1"/>
    </w:rPr>
  </w:style>
  <w:style w:type="character" w:customStyle="1" w:styleId="QuoteChar">
    <w:name w:val="Quote Char"/>
    <w:basedOn w:val="DefaultParagraphFont"/>
    <w:link w:val="Quote"/>
    <w:uiPriority w:val="29"/>
    <w:rsid w:val="00E258CD"/>
    <w:rPr>
      <w:i/>
      <w:iCs/>
      <w:color w:val="000000" w:themeColor="text1"/>
    </w:rPr>
  </w:style>
  <w:style w:type="paragraph" w:styleId="IntenseQuote">
    <w:name w:val="Intense Quote"/>
    <w:basedOn w:val="Normal"/>
    <w:next w:val="Normal"/>
    <w:link w:val="IntenseQuoteChar"/>
    <w:uiPriority w:val="30"/>
    <w:qFormat/>
    <w:rsid w:val="00E258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58CD"/>
    <w:rPr>
      <w:b/>
      <w:bCs/>
      <w:i/>
      <w:iCs/>
      <w:color w:val="4F81BD" w:themeColor="accent1"/>
    </w:rPr>
  </w:style>
  <w:style w:type="character" w:styleId="SubtleEmphasis">
    <w:name w:val="Subtle Emphasis"/>
    <w:basedOn w:val="DefaultParagraphFont"/>
    <w:uiPriority w:val="19"/>
    <w:qFormat/>
    <w:rsid w:val="00E258CD"/>
    <w:rPr>
      <w:i/>
      <w:iCs/>
      <w:color w:val="808080" w:themeColor="text1" w:themeTint="7F"/>
    </w:rPr>
  </w:style>
  <w:style w:type="character" w:styleId="IntenseEmphasis">
    <w:name w:val="Intense Emphasis"/>
    <w:basedOn w:val="DefaultParagraphFont"/>
    <w:uiPriority w:val="21"/>
    <w:qFormat/>
    <w:rsid w:val="00E258CD"/>
    <w:rPr>
      <w:b/>
      <w:bCs/>
      <w:i/>
      <w:iCs/>
      <w:color w:val="4F81BD" w:themeColor="accent1"/>
    </w:rPr>
  </w:style>
  <w:style w:type="character" w:styleId="SubtleReference">
    <w:name w:val="Subtle Reference"/>
    <w:basedOn w:val="DefaultParagraphFont"/>
    <w:uiPriority w:val="31"/>
    <w:qFormat/>
    <w:rsid w:val="00E258CD"/>
    <w:rPr>
      <w:smallCaps/>
      <w:color w:val="C0504D" w:themeColor="accent2"/>
      <w:u w:val="single"/>
    </w:rPr>
  </w:style>
  <w:style w:type="character" w:styleId="IntenseReference">
    <w:name w:val="Intense Reference"/>
    <w:basedOn w:val="DefaultParagraphFont"/>
    <w:uiPriority w:val="32"/>
    <w:qFormat/>
    <w:rsid w:val="00E258CD"/>
    <w:rPr>
      <w:b/>
      <w:bCs/>
      <w:smallCaps/>
      <w:color w:val="C0504D" w:themeColor="accent2"/>
      <w:spacing w:val="5"/>
      <w:u w:val="single"/>
    </w:rPr>
  </w:style>
  <w:style w:type="paragraph" w:styleId="TOCHeading">
    <w:name w:val="TOC Heading"/>
    <w:basedOn w:val="Heading1"/>
    <w:next w:val="Normal"/>
    <w:uiPriority w:val="39"/>
    <w:unhideWhenUsed/>
    <w:qFormat/>
    <w:rsid w:val="00E258CD"/>
    <w:pPr>
      <w:outlineLvl w:val="9"/>
    </w:pPr>
  </w:style>
  <w:style w:type="paragraph" w:customStyle="1" w:styleId="Default">
    <w:name w:val="Default"/>
    <w:rsid w:val="001C5A54"/>
    <w:pPr>
      <w:autoSpaceDE w:val="0"/>
      <w:autoSpaceDN w:val="0"/>
      <w:adjustRightInd w:val="0"/>
    </w:pPr>
    <w:rPr>
      <w:rFonts w:ascii="Arial" w:eastAsiaTheme="minorHAnsi" w:hAnsi="Arial" w:cs="Arial"/>
      <w:color w:val="000000"/>
      <w:sz w:val="24"/>
      <w:szCs w:val="24"/>
    </w:rPr>
  </w:style>
  <w:style w:type="paragraph" w:customStyle="1" w:styleId="ms-rteelement-p">
    <w:name w:val="ms-rteelement-p"/>
    <w:basedOn w:val="Normal"/>
    <w:rsid w:val="001C5A54"/>
    <w:pPr>
      <w:spacing w:before="150" w:after="150"/>
    </w:pPr>
    <w:rPr>
      <w:rFonts w:ascii="Times New Roman" w:hAnsi="Times New Roman"/>
      <w:color w:val="576170"/>
      <w:sz w:val="24"/>
      <w:szCs w:val="24"/>
      <w:lang w:eastAsia="en-GB" w:bidi="ar-SA"/>
    </w:rPr>
  </w:style>
  <w:style w:type="paragraph" w:styleId="BalloonText">
    <w:name w:val="Balloon Text"/>
    <w:basedOn w:val="Normal"/>
    <w:link w:val="BalloonTextChar"/>
    <w:uiPriority w:val="99"/>
    <w:semiHidden/>
    <w:unhideWhenUsed/>
    <w:rsid w:val="001C5A54"/>
    <w:rPr>
      <w:rFonts w:ascii="Tahoma" w:hAnsi="Tahoma" w:cs="Tahoma"/>
      <w:sz w:val="16"/>
      <w:szCs w:val="16"/>
    </w:rPr>
  </w:style>
  <w:style w:type="character" w:customStyle="1" w:styleId="BalloonTextChar">
    <w:name w:val="Balloon Text Char"/>
    <w:basedOn w:val="DefaultParagraphFont"/>
    <w:link w:val="BalloonText"/>
    <w:uiPriority w:val="99"/>
    <w:semiHidden/>
    <w:rsid w:val="001C5A54"/>
    <w:rPr>
      <w:rFonts w:ascii="Tahoma" w:hAnsi="Tahoma" w:cs="Tahoma"/>
      <w:sz w:val="16"/>
      <w:szCs w:val="16"/>
      <w:lang w:eastAsia="en-US" w:bidi="en-US"/>
    </w:rPr>
  </w:style>
  <w:style w:type="character" w:styleId="CommentReference">
    <w:name w:val="annotation reference"/>
    <w:basedOn w:val="DefaultParagraphFont"/>
    <w:uiPriority w:val="99"/>
    <w:semiHidden/>
    <w:unhideWhenUsed/>
    <w:rsid w:val="00513896"/>
    <w:rPr>
      <w:sz w:val="16"/>
      <w:szCs w:val="16"/>
    </w:rPr>
  </w:style>
  <w:style w:type="paragraph" w:styleId="CommentText">
    <w:name w:val="annotation text"/>
    <w:basedOn w:val="Normal"/>
    <w:link w:val="CommentTextChar"/>
    <w:uiPriority w:val="99"/>
    <w:semiHidden/>
    <w:unhideWhenUsed/>
    <w:rsid w:val="00513896"/>
    <w:rPr>
      <w:sz w:val="20"/>
      <w:szCs w:val="20"/>
    </w:rPr>
  </w:style>
  <w:style w:type="character" w:customStyle="1" w:styleId="CommentTextChar">
    <w:name w:val="Comment Text Char"/>
    <w:basedOn w:val="DefaultParagraphFont"/>
    <w:link w:val="CommentText"/>
    <w:uiPriority w:val="99"/>
    <w:semiHidden/>
    <w:rsid w:val="00513896"/>
    <w:rPr>
      <w:lang w:eastAsia="en-US" w:bidi="en-US"/>
    </w:rPr>
  </w:style>
  <w:style w:type="paragraph" w:styleId="CommentSubject">
    <w:name w:val="annotation subject"/>
    <w:basedOn w:val="CommentText"/>
    <w:next w:val="CommentText"/>
    <w:link w:val="CommentSubjectChar"/>
    <w:uiPriority w:val="99"/>
    <w:semiHidden/>
    <w:unhideWhenUsed/>
    <w:rsid w:val="00513896"/>
    <w:rPr>
      <w:b/>
      <w:bCs/>
    </w:rPr>
  </w:style>
  <w:style w:type="character" w:customStyle="1" w:styleId="CommentSubjectChar">
    <w:name w:val="Comment Subject Char"/>
    <w:basedOn w:val="CommentTextChar"/>
    <w:link w:val="CommentSubject"/>
    <w:uiPriority w:val="99"/>
    <w:semiHidden/>
    <w:rsid w:val="00513896"/>
    <w:rPr>
      <w:b/>
      <w:bCs/>
    </w:rPr>
  </w:style>
  <w:style w:type="character" w:customStyle="1" w:styleId="FooterChar">
    <w:name w:val="Footer Char"/>
    <w:basedOn w:val="DefaultParagraphFont"/>
    <w:link w:val="Footer"/>
    <w:uiPriority w:val="99"/>
    <w:rsid w:val="00B20B34"/>
  </w:style>
  <w:style w:type="character" w:customStyle="1" w:styleId="HeaderChar">
    <w:name w:val="Header Char"/>
    <w:basedOn w:val="DefaultParagraphFont"/>
    <w:link w:val="Header"/>
    <w:uiPriority w:val="99"/>
    <w:rsid w:val="00827E3F"/>
  </w:style>
  <w:style w:type="paragraph" w:styleId="NormalWeb">
    <w:name w:val="Normal (Web)"/>
    <w:basedOn w:val="Normal"/>
    <w:uiPriority w:val="99"/>
    <w:semiHidden/>
    <w:unhideWhenUsed/>
    <w:rsid w:val="00827E3F"/>
    <w:pPr>
      <w:spacing w:before="100" w:beforeAutospacing="1" w:after="100" w:afterAutospacing="1" w:line="240" w:lineRule="auto"/>
    </w:pPr>
    <w:rPr>
      <w:rFonts w:ascii="Times New Roman" w:eastAsia="Times New Roman" w:hAnsi="Times New Roman" w:cs="Times New Roman"/>
      <w:color w:val="000000"/>
      <w:sz w:val="31"/>
      <w:szCs w:val="31"/>
      <w:lang w:val="en-GB" w:eastAsia="en-GB" w:bidi="ar-SA"/>
    </w:rPr>
  </w:style>
  <w:style w:type="table" w:customStyle="1" w:styleId="LightShading1">
    <w:name w:val="Light Shading1"/>
    <w:basedOn w:val="TableNormal"/>
    <w:uiPriority w:val="60"/>
    <w:rsid w:val="00827E3F"/>
    <w:pPr>
      <w:spacing w:after="0" w:line="240" w:lineRule="auto"/>
    </w:pPr>
    <w:rPr>
      <w:rFonts w:eastAsiaTheme="minorHAnsi"/>
      <w:color w:val="000000" w:themeColor="text1" w:themeShade="BF"/>
      <w:lang w:val="en-GB"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27E3F"/>
    <w:pPr>
      <w:spacing w:after="0" w:line="240" w:lineRule="auto"/>
    </w:pPr>
    <w:rPr>
      <w:rFonts w:eastAsiaTheme="minorHAnsi"/>
      <w:color w:val="365F91" w:themeColor="accent1" w:themeShade="BF"/>
      <w:lang w:val="en-GB"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27E3F"/>
    <w:pPr>
      <w:spacing w:after="0" w:line="240" w:lineRule="auto"/>
    </w:pPr>
    <w:rPr>
      <w:rFonts w:eastAsiaTheme="minorHAnsi"/>
      <w:color w:val="943634" w:themeColor="accent2" w:themeShade="BF"/>
      <w:lang w:val="en-GB"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27E3F"/>
    <w:pPr>
      <w:spacing w:after="0" w:line="240" w:lineRule="auto"/>
    </w:pPr>
    <w:rPr>
      <w:rFonts w:eastAsiaTheme="minorHAnsi"/>
      <w:color w:val="76923C" w:themeColor="accent3" w:themeShade="BF"/>
      <w:lang w:val="en-GB"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27E3F"/>
    <w:pPr>
      <w:spacing w:after="0" w:line="240" w:lineRule="auto"/>
    </w:pPr>
    <w:rPr>
      <w:rFonts w:eastAsiaTheme="minorHAnsi"/>
      <w:color w:val="5F497A" w:themeColor="accent4" w:themeShade="BF"/>
      <w:lang w:val="en-GB" w:bidi="ar-S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27E3F"/>
    <w:pPr>
      <w:spacing w:after="0" w:line="240" w:lineRule="auto"/>
    </w:pPr>
    <w:rPr>
      <w:rFonts w:eastAsiaTheme="minorHAnsi"/>
      <w:color w:val="31849B" w:themeColor="accent5" w:themeShade="BF"/>
      <w:lang w:val="en-GB"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827E3F"/>
    <w:pPr>
      <w:spacing w:after="0" w:line="240" w:lineRule="auto"/>
    </w:pPr>
    <w:rPr>
      <w:rFonts w:eastAsiaTheme="minorHAnsi"/>
      <w:lang w:val="en-GB" w:bidi="ar-S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Grid-Accent5">
    <w:name w:val="Colorful Grid Accent 5"/>
    <w:basedOn w:val="TableNormal"/>
    <w:uiPriority w:val="73"/>
    <w:rsid w:val="00827E3F"/>
    <w:pPr>
      <w:spacing w:after="0" w:line="240" w:lineRule="auto"/>
    </w:pPr>
    <w:rPr>
      <w:rFonts w:eastAsiaTheme="minorHAnsi"/>
      <w:color w:val="000000" w:themeColor="text1"/>
      <w:lang w:val="en-GB" w:bidi="ar-S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PlaceholderText">
    <w:name w:val="Placeholder Text"/>
    <w:basedOn w:val="DefaultParagraphFont"/>
    <w:uiPriority w:val="99"/>
    <w:semiHidden/>
    <w:rsid w:val="00827E3F"/>
    <w:rPr>
      <w:color w:val="808080"/>
    </w:rPr>
  </w:style>
</w:styles>
</file>

<file path=word/webSettings.xml><?xml version="1.0" encoding="utf-8"?>
<w:webSettings xmlns:r="http://schemas.openxmlformats.org/officeDocument/2006/relationships" xmlns:w="http://schemas.openxmlformats.org/wordprocessingml/2006/main">
  <w:divs>
    <w:div w:id="81531711">
      <w:bodyDiv w:val="1"/>
      <w:marLeft w:val="0"/>
      <w:marRight w:val="0"/>
      <w:marTop w:val="0"/>
      <w:marBottom w:val="0"/>
      <w:divBdr>
        <w:top w:val="none" w:sz="0" w:space="0" w:color="auto"/>
        <w:left w:val="none" w:sz="0" w:space="0" w:color="auto"/>
        <w:bottom w:val="none" w:sz="0" w:space="0" w:color="auto"/>
        <w:right w:val="none" w:sz="0" w:space="0" w:color="auto"/>
      </w:divBdr>
    </w:div>
    <w:div w:id="120733595">
      <w:bodyDiv w:val="1"/>
      <w:marLeft w:val="0"/>
      <w:marRight w:val="0"/>
      <w:marTop w:val="0"/>
      <w:marBottom w:val="0"/>
      <w:divBdr>
        <w:top w:val="none" w:sz="0" w:space="0" w:color="auto"/>
        <w:left w:val="none" w:sz="0" w:space="0" w:color="auto"/>
        <w:bottom w:val="none" w:sz="0" w:space="0" w:color="auto"/>
        <w:right w:val="none" w:sz="0" w:space="0" w:color="auto"/>
      </w:divBdr>
    </w:div>
    <w:div w:id="194344175">
      <w:bodyDiv w:val="1"/>
      <w:marLeft w:val="0"/>
      <w:marRight w:val="0"/>
      <w:marTop w:val="0"/>
      <w:marBottom w:val="0"/>
      <w:divBdr>
        <w:top w:val="none" w:sz="0" w:space="0" w:color="auto"/>
        <w:left w:val="none" w:sz="0" w:space="0" w:color="auto"/>
        <w:bottom w:val="none" w:sz="0" w:space="0" w:color="auto"/>
        <w:right w:val="none" w:sz="0" w:space="0" w:color="auto"/>
      </w:divBdr>
    </w:div>
    <w:div w:id="248587307">
      <w:bodyDiv w:val="1"/>
      <w:marLeft w:val="0"/>
      <w:marRight w:val="0"/>
      <w:marTop w:val="0"/>
      <w:marBottom w:val="0"/>
      <w:divBdr>
        <w:top w:val="none" w:sz="0" w:space="0" w:color="auto"/>
        <w:left w:val="none" w:sz="0" w:space="0" w:color="auto"/>
        <w:bottom w:val="none" w:sz="0" w:space="0" w:color="auto"/>
        <w:right w:val="none" w:sz="0" w:space="0" w:color="auto"/>
      </w:divBdr>
    </w:div>
    <w:div w:id="272982956">
      <w:bodyDiv w:val="1"/>
      <w:marLeft w:val="0"/>
      <w:marRight w:val="0"/>
      <w:marTop w:val="0"/>
      <w:marBottom w:val="0"/>
      <w:divBdr>
        <w:top w:val="none" w:sz="0" w:space="0" w:color="auto"/>
        <w:left w:val="none" w:sz="0" w:space="0" w:color="auto"/>
        <w:bottom w:val="none" w:sz="0" w:space="0" w:color="auto"/>
        <w:right w:val="none" w:sz="0" w:space="0" w:color="auto"/>
      </w:divBdr>
    </w:div>
    <w:div w:id="302659239">
      <w:bodyDiv w:val="1"/>
      <w:marLeft w:val="0"/>
      <w:marRight w:val="0"/>
      <w:marTop w:val="0"/>
      <w:marBottom w:val="0"/>
      <w:divBdr>
        <w:top w:val="none" w:sz="0" w:space="0" w:color="auto"/>
        <w:left w:val="none" w:sz="0" w:space="0" w:color="auto"/>
        <w:bottom w:val="none" w:sz="0" w:space="0" w:color="auto"/>
        <w:right w:val="none" w:sz="0" w:space="0" w:color="auto"/>
      </w:divBdr>
    </w:div>
    <w:div w:id="414783818">
      <w:bodyDiv w:val="1"/>
      <w:marLeft w:val="0"/>
      <w:marRight w:val="0"/>
      <w:marTop w:val="0"/>
      <w:marBottom w:val="0"/>
      <w:divBdr>
        <w:top w:val="none" w:sz="0" w:space="0" w:color="auto"/>
        <w:left w:val="none" w:sz="0" w:space="0" w:color="auto"/>
        <w:bottom w:val="none" w:sz="0" w:space="0" w:color="auto"/>
        <w:right w:val="none" w:sz="0" w:space="0" w:color="auto"/>
      </w:divBdr>
    </w:div>
    <w:div w:id="451635957">
      <w:bodyDiv w:val="1"/>
      <w:marLeft w:val="0"/>
      <w:marRight w:val="0"/>
      <w:marTop w:val="0"/>
      <w:marBottom w:val="0"/>
      <w:divBdr>
        <w:top w:val="none" w:sz="0" w:space="0" w:color="auto"/>
        <w:left w:val="none" w:sz="0" w:space="0" w:color="auto"/>
        <w:bottom w:val="none" w:sz="0" w:space="0" w:color="auto"/>
        <w:right w:val="none" w:sz="0" w:space="0" w:color="auto"/>
      </w:divBdr>
    </w:div>
    <w:div w:id="492767690">
      <w:bodyDiv w:val="1"/>
      <w:marLeft w:val="0"/>
      <w:marRight w:val="0"/>
      <w:marTop w:val="0"/>
      <w:marBottom w:val="0"/>
      <w:divBdr>
        <w:top w:val="none" w:sz="0" w:space="0" w:color="auto"/>
        <w:left w:val="none" w:sz="0" w:space="0" w:color="auto"/>
        <w:bottom w:val="none" w:sz="0" w:space="0" w:color="auto"/>
        <w:right w:val="none" w:sz="0" w:space="0" w:color="auto"/>
      </w:divBdr>
    </w:div>
    <w:div w:id="516774830">
      <w:bodyDiv w:val="1"/>
      <w:marLeft w:val="0"/>
      <w:marRight w:val="0"/>
      <w:marTop w:val="0"/>
      <w:marBottom w:val="0"/>
      <w:divBdr>
        <w:top w:val="none" w:sz="0" w:space="0" w:color="auto"/>
        <w:left w:val="none" w:sz="0" w:space="0" w:color="auto"/>
        <w:bottom w:val="none" w:sz="0" w:space="0" w:color="auto"/>
        <w:right w:val="none" w:sz="0" w:space="0" w:color="auto"/>
      </w:divBdr>
    </w:div>
    <w:div w:id="559098856">
      <w:bodyDiv w:val="1"/>
      <w:marLeft w:val="0"/>
      <w:marRight w:val="0"/>
      <w:marTop w:val="0"/>
      <w:marBottom w:val="0"/>
      <w:divBdr>
        <w:top w:val="none" w:sz="0" w:space="0" w:color="auto"/>
        <w:left w:val="none" w:sz="0" w:space="0" w:color="auto"/>
        <w:bottom w:val="none" w:sz="0" w:space="0" w:color="auto"/>
        <w:right w:val="none" w:sz="0" w:space="0" w:color="auto"/>
      </w:divBdr>
    </w:div>
    <w:div w:id="672924959">
      <w:bodyDiv w:val="1"/>
      <w:marLeft w:val="0"/>
      <w:marRight w:val="0"/>
      <w:marTop w:val="0"/>
      <w:marBottom w:val="0"/>
      <w:divBdr>
        <w:top w:val="none" w:sz="0" w:space="0" w:color="auto"/>
        <w:left w:val="none" w:sz="0" w:space="0" w:color="auto"/>
        <w:bottom w:val="none" w:sz="0" w:space="0" w:color="auto"/>
        <w:right w:val="none" w:sz="0" w:space="0" w:color="auto"/>
      </w:divBdr>
    </w:div>
    <w:div w:id="740905831">
      <w:bodyDiv w:val="1"/>
      <w:marLeft w:val="0"/>
      <w:marRight w:val="0"/>
      <w:marTop w:val="0"/>
      <w:marBottom w:val="0"/>
      <w:divBdr>
        <w:top w:val="none" w:sz="0" w:space="0" w:color="auto"/>
        <w:left w:val="none" w:sz="0" w:space="0" w:color="auto"/>
        <w:bottom w:val="none" w:sz="0" w:space="0" w:color="auto"/>
        <w:right w:val="none" w:sz="0" w:space="0" w:color="auto"/>
      </w:divBdr>
    </w:div>
    <w:div w:id="744180175">
      <w:bodyDiv w:val="1"/>
      <w:marLeft w:val="0"/>
      <w:marRight w:val="0"/>
      <w:marTop w:val="0"/>
      <w:marBottom w:val="0"/>
      <w:divBdr>
        <w:top w:val="none" w:sz="0" w:space="0" w:color="auto"/>
        <w:left w:val="none" w:sz="0" w:space="0" w:color="auto"/>
        <w:bottom w:val="none" w:sz="0" w:space="0" w:color="auto"/>
        <w:right w:val="none" w:sz="0" w:space="0" w:color="auto"/>
      </w:divBdr>
    </w:div>
    <w:div w:id="754321546">
      <w:bodyDiv w:val="1"/>
      <w:marLeft w:val="0"/>
      <w:marRight w:val="0"/>
      <w:marTop w:val="0"/>
      <w:marBottom w:val="0"/>
      <w:divBdr>
        <w:top w:val="none" w:sz="0" w:space="0" w:color="auto"/>
        <w:left w:val="none" w:sz="0" w:space="0" w:color="auto"/>
        <w:bottom w:val="none" w:sz="0" w:space="0" w:color="auto"/>
        <w:right w:val="none" w:sz="0" w:space="0" w:color="auto"/>
      </w:divBdr>
      <w:divsChild>
        <w:div w:id="870605452">
          <w:marLeft w:val="0"/>
          <w:marRight w:val="0"/>
          <w:marTop w:val="0"/>
          <w:marBottom w:val="0"/>
          <w:divBdr>
            <w:top w:val="none" w:sz="0" w:space="0" w:color="auto"/>
            <w:left w:val="none" w:sz="0" w:space="0" w:color="auto"/>
            <w:bottom w:val="none" w:sz="0" w:space="0" w:color="auto"/>
            <w:right w:val="none" w:sz="0" w:space="0" w:color="auto"/>
          </w:divBdr>
          <w:divsChild>
            <w:div w:id="1702167393">
              <w:marLeft w:val="0"/>
              <w:marRight w:val="0"/>
              <w:marTop w:val="0"/>
              <w:marBottom w:val="0"/>
              <w:divBdr>
                <w:top w:val="none" w:sz="0" w:space="0" w:color="auto"/>
                <w:left w:val="none" w:sz="0" w:space="0" w:color="auto"/>
                <w:bottom w:val="none" w:sz="0" w:space="0" w:color="auto"/>
                <w:right w:val="none" w:sz="0" w:space="0" w:color="auto"/>
              </w:divBdr>
              <w:divsChild>
                <w:div w:id="2098086566">
                  <w:marLeft w:val="0"/>
                  <w:marRight w:val="0"/>
                  <w:marTop w:val="0"/>
                  <w:marBottom w:val="0"/>
                  <w:divBdr>
                    <w:top w:val="none" w:sz="0" w:space="0" w:color="auto"/>
                    <w:left w:val="none" w:sz="0" w:space="0" w:color="auto"/>
                    <w:bottom w:val="none" w:sz="0" w:space="0" w:color="auto"/>
                    <w:right w:val="none" w:sz="0" w:space="0" w:color="auto"/>
                  </w:divBdr>
                  <w:divsChild>
                    <w:div w:id="20205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0268">
      <w:bodyDiv w:val="1"/>
      <w:marLeft w:val="0"/>
      <w:marRight w:val="0"/>
      <w:marTop w:val="0"/>
      <w:marBottom w:val="0"/>
      <w:divBdr>
        <w:top w:val="none" w:sz="0" w:space="0" w:color="auto"/>
        <w:left w:val="none" w:sz="0" w:space="0" w:color="auto"/>
        <w:bottom w:val="none" w:sz="0" w:space="0" w:color="auto"/>
        <w:right w:val="none" w:sz="0" w:space="0" w:color="auto"/>
      </w:divBdr>
    </w:div>
    <w:div w:id="832063852">
      <w:bodyDiv w:val="1"/>
      <w:marLeft w:val="0"/>
      <w:marRight w:val="0"/>
      <w:marTop w:val="0"/>
      <w:marBottom w:val="0"/>
      <w:divBdr>
        <w:top w:val="none" w:sz="0" w:space="0" w:color="auto"/>
        <w:left w:val="none" w:sz="0" w:space="0" w:color="auto"/>
        <w:bottom w:val="none" w:sz="0" w:space="0" w:color="auto"/>
        <w:right w:val="none" w:sz="0" w:space="0" w:color="auto"/>
      </w:divBdr>
    </w:div>
    <w:div w:id="957957036">
      <w:bodyDiv w:val="1"/>
      <w:marLeft w:val="0"/>
      <w:marRight w:val="0"/>
      <w:marTop w:val="0"/>
      <w:marBottom w:val="0"/>
      <w:divBdr>
        <w:top w:val="none" w:sz="0" w:space="0" w:color="auto"/>
        <w:left w:val="none" w:sz="0" w:space="0" w:color="auto"/>
        <w:bottom w:val="none" w:sz="0" w:space="0" w:color="auto"/>
        <w:right w:val="none" w:sz="0" w:space="0" w:color="auto"/>
      </w:divBdr>
    </w:div>
    <w:div w:id="1082678459">
      <w:bodyDiv w:val="1"/>
      <w:marLeft w:val="0"/>
      <w:marRight w:val="0"/>
      <w:marTop w:val="0"/>
      <w:marBottom w:val="0"/>
      <w:divBdr>
        <w:top w:val="none" w:sz="0" w:space="0" w:color="auto"/>
        <w:left w:val="none" w:sz="0" w:space="0" w:color="auto"/>
        <w:bottom w:val="none" w:sz="0" w:space="0" w:color="auto"/>
        <w:right w:val="none" w:sz="0" w:space="0" w:color="auto"/>
      </w:divBdr>
    </w:div>
    <w:div w:id="1082793736">
      <w:bodyDiv w:val="1"/>
      <w:marLeft w:val="0"/>
      <w:marRight w:val="0"/>
      <w:marTop w:val="0"/>
      <w:marBottom w:val="0"/>
      <w:divBdr>
        <w:top w:val="none" w:sz="0" w:space="0" w:color="auto"/>
        <w:left w:val="none" w:sz="0" w:space="0" w:color="auto"/>
        <w:bottom w:val="none" w:sz="0" w:space="0" w:color="auto"/>
        <w:right w:val="none" w:sz="0" w:space="0" w:color="auto"/>
      </w:divBdr>
    </w:div>
    <w:div w:id="1128627420">
      <w:bodyDiv w:val="1"/>
      <w:marLeft w:val="0"/>
      <w:marRight w:val="0"/>
      <w:marTop w:val="0"/>
      <w:marBottom w:val="0"/>
      <w:divBdr>
        <w:top w:val="none" w:sz="0" w:space="0" w:color="auto"/>
        <w:left w:val="none" w:sz="0" w:space="0" w:color="auto"/>
        <w:bottom w:val="none" w:sz="0" w:space="0" w:color="auto"/>
        <w:right w:val="none" w:sz="0" w:space="0" w:color="auto"/>
      </w:divBdr>
    </w:div>
    <w:div w:id="1216551029">
      <w:bodyDiv w:val="1"/>
      <w:marLeft w:val="0"/>
      <w:marRight w:val="0"/>
      <w:marTop w:val="0"/>
      <w:marBottom w:val="0"/>
      <w:divBdr>
        <w:top w:val="none" w:sz="0" w:space="0" w:color="auto"/>
        <w:left w:val="none" w:sz="0" w:space="0" w:color="auto"/>
        <w:bottom w:val="none" w:sz="0" w:space="0" w:color="auto"/>
        <w:right w:val="none" w:sz="0" w:space="0" w:color="auto"/>
      </w:divBdr>
    </w:div>
    <w:div w:id="1228688545">
      <w:bodyDiv w:val="1"/>
      <w:marLeft w:val="0"/>
      <w:marRight w:val="0"/>
      <w:marTop w:val="0"/>
      <w:marBottom w:val="0"/>
      <w:divBdr>
        <w:top w:val="none" w:sz="0" w:space="0" w:color="auto"/>
        <w:left w:val="none" w:sz="0" w:space="0" w:color="auto"/>
        <w:bottom w:val="none" w:sz="0" w:space="0" w:color="auto"/>
        <w:right w:val="none" w:sz="0" w:space="0" w:color="auto"/>
      </w:divBdr>
    </w:div>
    <w:div w:id="1240753689">
      <w:bodyDiv w:val="1"/>
      <w:marLeft w:val="0"/>
      <w:marRight w:val="0"/>
      <w:marTop w:val="0"/>
      <w:marBottom w:val="0"/>
      <w:divBdr>
        <w:top w:val="none" w:sz="0" w:space="0" w:color="auto"/>
        <w:left w:val="none" w:sz="0" w:space="0" w:color="auto"/>
        <w:bottom w:val="none" w:sz="0" w:space="0" w:color="auto"/>
        <w:right w:val="none" w:sz="0" w:space="0" w:color="auto"/>
      </w:divBdr>
    </w:div>
    <w:div w:id="1305549977">
      <w:bodyDiv w:val="1"/>
      <w:marLeft w:val="0"/>
      <w:marRight w:val="0"/>
      <w:marTop w:val="0"/>
      <w:marBottom w:val="0"/>
      <w:divBdr>
        <w:top w:val="none" w:sz="0" w:space="0" w:color="auto"/>
        <w:left w:val="none" w:sz="0" w:space="0" w:color="auto"/>
        <w:bottom w:val="none" w:sz="0" w:space="0" w:color="auto"/>
        <w:right w:val="none" w:sz="0" w:space="0" w:color="auto"/>
      </w:divBdr>
      <w:divsChild>
        <w:div w:id="1417165756">
          <w:marLeft w:val="547"/>
          <w:marRight w:val="0"/>
          <w:marTop w:val="154"/>
          <w:marBottom w:val="0"/>
          <w:divBdr>
            <w:top w:val="none" w:sz="0" w:space="0" w:color="auto"/>
            <w:left w:val="none" w:sz="0" w:space="0" w:color="auto"/>
            <w:bottom w:val="none" w:sz="0" w:space="0" w:color="auto"/>
            <w:right w:val="none" w:sz="0" w:space="0" w:color="auto"/>
          </w:divBdr>
        </w:div>
        <w:div w:id="833448365">
          <w:marLeft w:val="547"/>
          <w:marRight w:val="0"/>
          <w:marTop w:val="154"/>
          <w:marBottom w:val="0"/>
          <w:divBdr>
            <w:top w:val="none" w:sz="0" w:space="0" w:color="auto"/>
            <w:left w:val="none" w:sz="0" w:space="0" w:color="auto"/>
            <w:bottom w:val="none" w:sz="0" w:space="0" w:color="auto"/>
            <w:right w:val="none" w:sz="0" w:space="0" w:color="auto"/>
          </w:divBdr>
        </w:div>
        <w:div w:id="1215582827">
          <w:marLeft w:val="547"/>
          <w:marRight w:val="0"/>
          <w:marTop w:val="154"/>
          <w:marBottom w:val="0"/>
          <w:divBdr>
            <w:top w:val="none" w:sz="0" w:space="0" w:color="auto"/>
            <w:left w:val="none" w:sz="0" w:space="0" w:color="auto"/>
            <w:bottom w:val="none" w:sz="0" w:space="0" w:color="auto"/>
            <w:right w:val="none" w:sz="0" w:space="0" w:color="auto"/>
          </w:divBdr>
        </w:div>
        <w:div w:id="1784378090">
          <w:marLeft w:val="288"/>
          <w:marRight w:val="0"/>
          <w:marTop w:val="0"/>
          <w:marBottom w:val="0"/>
          <w:divBdr>
            <w:top w:val="none" w:sz="0" w:space="0" w:color="auto"/>
            <w:left w:val="none" w:sz="0" w:space="0" w:color="auto"/>
            <w:bottom w:val="none" w:sz="0" w:space="0" w:color="auto"/>
            <w:right w:val="none" w:sz="0" w:space="0" w:color="auto"/>
          </w:divBdr>
        </w:div>
        <w:div w:id="634482825">
          <w:marLeft w:val="288"/>
          <w:marRight w:val="0"/>
          <w:marTop w:val="0"/>
          <w:marBottom w:val="0"/>
          <w:divBdr>
            <w:top w:val="none" w:sz="0" w:space="0" w:color="auto"/>
            <w:left w:val="none" w:sz="0" w:space="0" w:color="auto"/>
            <w:bottom w:val="none" w:sz="0" w:space="0" w:color="auto"/>
            <w:right w:val="none" w:sz="0" w:space="0" w:color="auto"/>
          </w:divBdr>
        </w:div>
        <w:div w:id="1462259705">
          <w:marLeft w:val="288"/>
          <w:marRight w:val="0"/>
          <w:marTop w:val="0"/>
          <w:marBottom w:val="0"/>
          <w:divBdr>
            <w:top w:val="none" w:sz="0" w:space="0" w:color="auto"/>
            <w:left w:val="none" w:sz="0" w:space="0" w:color="auto"/>
            <w:bottom w:val="none" w:sz="0" w:space="0" w:color="auto"/>
            <w:right w:val="none" w:sz="0" w:space="0" w:color="auto"/>
          </w:divBdr>
        </w:div>
        <w:div w:id="287470833">
          <w:marLeft w:val="288"/>
          <w:marRight w:val="0"/>
          <w:marTop w:val="0"/>
          <w:marBottom w:val="0"/>
          <w:divBdr>
            <w:top w:val="none" w:sz="0" w:space="0" w:color="auto"/>
            <w:left w:val="none" w:sz="0" w:space="0" w:color="auto"/>
            <w:bottom w:val="none" w:sz="0" w:space="0" w:color="auto"/>
            <w:right w:val="none" w:sz="0" w:space="0" w:color="auto"/>
          </w:divBdr>
        </w:div>
        <w:div w:id="1631932536">
          <w:marLeft w:val="288"/>
          <w:marRight w:val="0"/>
          <w:marTop w:val="0"/>
          <w:marBottom w:val="0"/>
          <w:divBdr>
            <w:top w:val="none" w:sz="0" w:space="0" w:color="auto"/>
            <w:left w:val="none" w:sz="0" w:space="0" w:color="auto"/>
            <w:bottom w:val="none" w:sz="0" w:space="0" w:color="auto"/>
            <w:right w:val="none" w:sz="0" w:space="0" w:color="auto"/>
          </w:divBdr>
        </w:div>
        <w:div w:id="598756546">
          <w:marLeft w:val="547"/>
          <w:marRight w:val="0"/>
          <w:marTop w:val="154"/>
          <w:marBottom w:val="0"/>
          <w:divBdr>
            <w:top w:val="none" w:sz="0" w:space="0" w:color="auto"/>
            <w:left w:val="none" w:sz="0" w:space="0" w:color="auto"/>
            <w:bottom w:val="none" w:sz="0" w:space="0" w:color="auto"/>
            <w:right w:val="none" w:sz="0" w:space="0" w:color="auto"/>
          </w:divBdr>
        </w:div>
      </w:divsChild>
    </w:div>
    <w:div w:id="1336761121">
      <w:bodyDiv w:val="1"/>
      <w:marLeft w:val="0"/>
      <w:marRight w:val="0"/>
      <w:marTop w:val="0"/>
      <w:marBottom w:val="0"/>
      <w:divBdr>
        <w:top w:val="none" w:sz="0" w:space="0" w:color="auto"/>
        <w:left w:val="none" w:sz="0" w:space="0" w:color="auto"/>
        <w:bottom w:val="none" w:sz="0" w:space="0" w:color="auto"/>
        <w:right w:val="none" w:sz="0" w:space="0" w:color="auto"/>
      </w:divBdr>
    </w:div>
    <w:div w:id="1388913095">
      <w:bodyDiv w:val="1"/>
      <w:marLeft w:val="0"/>
      <w:marRight w:val="0"/>
      <w:marTop w:val="0"/>
      <w:marBottom w:val="0"/>
      <w:divBdr>
        <w:top w:val="none" w:sz="0" w:space="0" w:color="auto"/>
        <w:left w:val="none" w:sz="0" w:space="0" w:color="auto"/>
        <w:bottom w:val="none" w:sz="0" w:space="0" w:color="auto"/>
        <w:right w:val="none" w:sz="0" w:space="0" w:color="auto"/>
      </w:divBdr>
    </w:div>
    <w:div w:id="1402099399">
      <w:bodyDiv w:val="1"/>
      <w:marLeft w:val="0"/>
      <w:marRight w:val="0"/>
      <w:marTop w:val="0"/>
      <w:marBottom w:val="0"/>
      <w:divBdr>
        <w:top w:val="none" w:sz="0" w:space="0" w:color="auto"/>
        <w:left w:val="none" w:sz="0" w:space="0" w:color="auto"/>
        <w:bottom w:val="none" w:sz="0" w:space="0" w:color="auto"/>
        <w:right w:val="none" w:sz="0" w:space="0" w:color="auto"/>
      </w:divBdr>
    </w:div>
    <w:div w:id="1518738246">
      <w:bodyDiv w:val="1"/>
      <w:marLeft w:val="0"/>
      <w:marRight w:val="0"/>
      <w:marTop w:val="0"/>
      <w:marBottom w:val="0"/>
      <w:divBdr>
        <w:top w:val="none" w:sz="0" w:space="0" w:color="auto"/>
        <w:left w:val="none" w:sz="0" w:space="0" w:color="auto"/>
        <w:bottom w:val="none" w:sz="0" w:space="0" w:color="auto"/>
        <w:right w:val="none" w:sz="0" w:space="0" w:color="auto"/>
      </w:divBdr>
    </w:div>
    <w:div w:id="1558009298">
      <w:bodyDiv w:val="1"/>
      <w:marLeft w:val="0"/>
      <w:marRight w:val="0"/>
      <w:marTop w:val="0"/>
      <w:marBottom w:val="0"/>
      <w:divBdr>
        <w:top w:val="none" w:sz="0" w:space="0" w:color="auto"/>
        <w:left w:val="none" w:sz="0" w:space="0" w:color="auto"/>
        <w:bottom w:val="none" w:sz="0" w:space="0" w:color="auto"/>
        <w:right w:val="none" w:sz="0" w:space="0" w:color="auto"/>
      </w:divBdr>
    </w:div>
    <w:div w:id="1602687160">
      <w:bodyDiv w:val="1"/>
      <w:marLeft w:val="0"/>
      <w:marRight w:val="0"/>
      <w:marTop w:val="0"/>
      <w:marBottom w:val="0"/>
      <w:divBdr>
        <w:top w:val="none" w:sz="0" w:space="0" w:color="auto"/>
        <w:left w:val="none" w:sz="0" w:space="0" w:color="auto"/>
        <w:bottom w:val="none" w:sz="0" w:space="0" w:color="auto"/>
        <w:right w:val="none" w:sz="0" w:space="0" w:color="auto"/>
      </w:divBdr>
    </w:div>
    <w:div w:id="1603605778">
      <w:bodyDiv w:val="1"/>
      <w:marLeft w:val="0"/>
      <w:marRight w:val="0"/>
      <w:marTop w:val="0"/>
      <w:marBottom w:val="0"/>
      <w:divBdr>
        <w:top w:val="none" w:sz="0" w:space="0" w:color="auto"/>
        <w:left w:val="none" w:sz="0" w:space="0" w:color="auto"/>
        <w:bottom w:val="none" w:sz="0" w:space="0" w:color="auto"/>
        <w:right w:val="none" w:sz="0" w:space="0" w:color="auto"/>
      </w:divBdr>
    </w:div>
    <w:div w:id="1620912048">
      <w:bodyDiv w:val="1"/>
      <w:marLeft w:val="0"/>
      <w:marRight w:val="0"/>
      <w:marTop w:val="0"/>
      <w:marBottom w:val="0"/>
      <w:divBdr>
        <w:top w:val="none" w:sz="0" w:space="0" w:color="auto"/>
        <w:left w:val="none" w:sz="0" w:space="0" w:color="auto"/>
        <w:bottom w:val="none" w:sz="0" w:space="0" w:color="auto"/>
        <w:right w:val="none" w:sz="0" w:space="0" w:color="auto"/>
      </w:divBdr>
    </w:div>
    <w:div w:id="1644313302">
      <w:bodyDiv w:val="1"/>
      <w:marLeft w:val="0"/>
      <w:marRight w:val="0"/>
      <w:marTop w:val="0"/>
      <w:marBottom w:val="0"/>
      <w:divBdr>
        <w:top w:val="none" w:sz="0" w:space="0" w:color="auto"/>
        <w:left w:val="none" w:sz="0" w:space="0" w:color="auto"/>
        <w:bottom w:val="none" w:sz="0" w:space="0" w:color="auto"/>
        <w:right w:val="none" w:sz="0" w:space="0" w:color="auto"/>
      </w:divBdr>
    </w:div>
    <w:div w:id="1711373029">
      <w:bodyDiv w:val="1"/>
      <w:marLeft w:val="0"/>
      <w:marRight w:val="0"/>
      <w:marTop w:val="0"/>
      <w:marBottom w:val="0"/>
      <w:divBdr>
        <w:top w:val="none" w:sz="0" w:space="0" w:color="auto"/>
        <w:left w:val="none" w:sz="0" w:space="0" w:color="auto"/>
        <w:bottom w:val="none" w:sz="0" w:space="0" w:color="auto"/>
        <w:right w:val="none" w:sz="0" w:space="0" w:color="auto"/>
      </w:divBdr>
    </w:div>
    <w:div w:id="1724402357">
      <w:bodyDiv w:val="1"/>
      <w:marLeft w:val="0"/>
      <w:marRight w:val="0"/>
      <w:marTop w:val="0"/>
      <w:marBottom w:val="0"/>
      <w:divBdr>
        <w:top w:val="none" w:sz="0" w:space="0" w:color="auto"/>
        <w:left w:val="none" w:sz="0" w:space="0" w:color="auto"/>
        <w:bottom w:val="none" w:sz="0" w:space="0" w:color="auto"/>
        <w:right w:val="none" w:sz="0" w:space="0" w:color="auto"/>
      </w:divBdr>
    </w:div>
    <w:div w:id="1884246329">
      <w:bodyDiv w:val="1"/>
      <w:marLeft w:val="0"/>
      <w:marRight w:val="0"/>
      <w:marTop w:val="0"/>
      <w:marBottom w:val="0"/>
      <w:divBdr>
        <w:top w:val="none" w:sz="0" w:space="0" w:color="auto"/>
        <w:left w:val="none" w:sz="0" w:space="0" w:color="auto"/>
        <w:bottom w:val="none" w:sz="0" w:space="0" w:color="auto"/>
        <w:right w:val="none" w:sz="0" w:space="0" w:color="auto"/>
      </w:divBdr>
    </w:div>
    <w:div w:id="1976329891">
      <w:bodyDiv w:val="1"/>
      <w:marLeft w:val="0"/>
      <w:marRight w:val="0"/>
      <w:marTop w:val="0"/>
      <w:marBottom w:val="0"/>
      <w:divBdr>
        <w:top w:val="none" w:sz="0" w:space="0" w:color="auto"/>
        <w:left w:val="none" w:sz="0" w:space="0" w:color="auto"/>
        <w:bottom w:val="none" w:sz="0" w:space="0" w:color="auto"/>
        <w:right w:val="none" w:sz="0" w:space="0" w:color="auto"/>
      </w:divBdr>
    </w:div>
    <w:div w:id="21387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etini.gov.uk/deti-stats-index/stats-national-statistics/user-consultation-and-informatio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hris.ganley@df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CBA9-F8C3-48CC-9AEC-B2BBF477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9262</Words>
  <Characters>52800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The target population</vt:lpstr>
    </vt:vector>
  </TitlesOfParts>
  <Company>Office for National Statistics</Company>
  <LinksUpToDate>false</LinksUpToDate>
  <CharactersWithSpaces>61939</CharactersWithSpaces>
  <SharedDoc>false</SharedDoc>
  <HLinks>
    <vt:vector size="12" baseType="variant">
      <vt:variant>
        <vt:i4>2818088</vt:i4>
      </vt:variant>
      <vt:variant>
        <vt:i4>3</vt:i4>
      </vt:variant>
      <vt:variant>
        <vt:i4>0</vt:i4>
      </vt:variant>
      <vt:variant>
        <vt:i4>5</vt:i4>
      </vt:variant>
      <vt:variant>
        <vt:lpwstr>http://www2.lse.ac.uk/study/UOLIP/prospectus_pages/Cost_2012.pdf</vt:lpwstr>
      </vt:variant>
      <vt:variant>
        <vt:lpwstr/>
      </vt:variant>
      <vt:variant>
        <vt:i4>262232</vt:i4>
      </vt:variant>
      <vt:variant>
        <vt:i4>0</vt:i4>
      </vt:variant>
      <vt:variant>
        <vt:i4>0</vt:i4>
      </vt:variant>
      <vt:variant>
        <vt:i4>5</vt:i4>
      </vt:variant>
      <vt:variant>
        <vt:lpwstr>http://www.londoninternational.ac.uk/fees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target population</dc:title>
  <dc:creator>Charles Lound</dc:creator>
  <cp:lastModifiedBy>Sexton, Denise</cp:lastModifiedBy>
  <cp:revision>1</cp:revision>
  <cp:lastPrinted>2014-03-26T15:23:00Z</cp:lastPrinted>
  <dcterms:created xsi:type="dcterms:W3CDTF">2016-12-01T12:54:00Z</dcterms:created>
  <dcterms:modified xsi:type="dcterms:W3CDTF">2016-12-01T12:54:00Z</dcterms:modified>
</cp:coreProperties>
</file>