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BF9A5" w14:textId="77777777" w:rsidR="0055523F" w:rsidRDefault="0055523F" w:rsidP="0055523F">
      <w:r>
        <w:rPr>
          <w:noProof/>
        </w:rPr>
        <w:drawing>
          <wp:inline distT="0" distB="0" distL="0" distR="0" wp14:anchorId="636ADEFA" wp14:editId="15F90965">
            <wp:extent cx="1440180" cy="742746"/>
            <wp:effectExtent l="0" t="0" r="7620" b="635"/>
            <wp:docPr id="1026" name="Picture 2" descr="C:\Users\stanbj\AppData\Local\Microsoft\Windows\Temporary Internet Files\Content.Outlook\0QXFJQHR\Harmonisation Logo 0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tanbj\AppData\Local\Microsoft\Windows\Temporary Internet Files\Content.Outlook\0QXFJQHR\Harmonisation Logo 0.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50" cy="747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523F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EA22BD" wp14:editId="6A43653B">
            <wp:simplePos x="2392680" y="914400"/>
            <wp:positionH relativeFrom="margin">
              <wp:align>right</wp:align>
            </wp:positionH>
            <wp:positionV relativeFrom="margin">
              <wp:align>top</wp:align>
            </wp:positionV>
            <wp:extent cx="1310640" cy="76835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C52673" w14:textId="77777777" w:rsidR="0055523F" w:rsidRDefault="0055523F" w:rsidP="0055523F">
      <w:pPr>
        <w:jc w:val="right"/>
      </w:pPr>
    </w:p>
    <w:p w14:paraId="3360FF1E" w14:textId="77777777" w:rsidR="00F26585" w:rsidRPr="0055523F" w:rsidRDefault="0055523F" w:rsidP="0055523F">
      <w:pPr>
        <w:jc w:val="center"/>
        <w:rPr>
          <w:b/>
          <w:sz w:val="28"/>
          <w:u w:val="single"/>
        </w:rPr>
      </w:pPr>
      <w:r w:rsidRPr="0055523F">
        <w:rPr>
          <w:b/>
          <w:sz w:val="28"/>
          <w:u w:val="single"/>
        </w:rPr>
        <w:t>A Beginners guide to Harmonisation</w:t>
      </w:r>
    </w:p>
    <w:p w14:paraId="2B27E6C2" w14:textId="77777777" w:rsidR="0055523F" w:rsidRDefault="0055523F"/>
    <w:p w14:paraId="34CC778B" w14:textId="77777777" w:rsidR="0055523F" w:rsidRPr="003D31EE" w:rsidRDefault="0055523F">
      <w:pPr>
        <w:rPr>
          <w:b/>
        </w:rPr>
      </w:pPr>
      <w:r w:rsidRPr="003D31EE">
        <w:rPr>
          <w:b/>
        </w:rPr>
        <w:t>What is Harmonisation?</w:t>
      </w:r>
    </w:p>
    <w:p w14:paraId="2312EBE3" w14:textId="77777777" w:rsidR="006D2866" w:rsidRDefault="006D2866" w:rsidP="003D31EE">
      <w:r w:rsidRPr="006D2866">
        <w:t>Harmonisation</w:t>
      </w:r>
      <w:r w:rsidRPr="00781B4A">
        <w:t xml:space="preserve"> </w:t>
      </w:r>
      <w:r w:rsidR="003D31EE" w:rsidRPr="00781B4A">
        <w:t>is the process of increasing comparability and coherence of statistics. Th</w:t>
      </w:r>
      <w:r w:rsidR="003D31EE">
        <w:t>r</w:t>
      </w:r>
      <w:r w:rsidR="003D31EE" w:rsidRPr="00781B4A">
        <w:t xml:space="preserve">ough collaboration of analysts across the GSS to maximize their value to users. It is broader than standardisation, which involves adopting uniform methods, processes or outputs. </w:t>
      </w:r>
    </w:p>
    <w:p w14:paraId="27F01585" w14:textId="500EC65B" w:rsidR="006D2866" w:rsidRDefault="003D31EE" w:rsidP="003D31EE">
      <w:r w:rsidRPr="00781B4A">
        <w:t xml:space="preserve">Instead, Harmonisation </w:t>
      </w:r>
      <w:r>
        <w:t>acknowledges</w:t>
      </w:r>
      <w:r w:rsidRPr="00781B4A">
        <w:t xml:space="preserve"> that there are often </w:t>
      </w:r>
      <w:r w:rsidRPr="003D31EE">
        <w:t xml:space="preserve">different levels </w:t>
      </w:r>
      <w:r w:rsidRPr="00781B4A">
        <w:t xml:space="preserve">of comparability and coherence </w:t>
      </w:r>
      <w:r>
        <w:t>that are achievable. From</w:t>
      </w:r>
      <w:r w:rsidRPr="00781B4A">
        <w:t xml:space="preserve"> user guidance explaining where data is comparable or </w:t>
      </w:r>
      <w:r w:rsidR="00FF314C">
        <w:t xml:space="preserve">where </w:t>
      </w:r>
      <w:r w:rsidRPr="00781B4A">
        <w:t xml:space="preserve">caution </w:t>
      </w:r>
      <w:r>
        <w:t xml:space="preserve">should be </w:t>
      </w:r>
      <w:r w:rsidRPr="00781B4A">
        <w:t>applied, through to agreed</w:t>
      </w:r>
      <w:r w:rsidR="006D2866">
        <w:t xml:space="preserve"> harmonised questions</w:t>
      </w:r>
      <w:r w:rsidRPr="00781B4A">
        <w:t xml:space="preserve">. </w:t>
      </w:r>
    </w:p>
    <w:p w14:paraId="40764FAE" w14:textId="53B99F07" w:rsidR="003D31EE" w:rsidRDefault="006D2866" w:rsidP="003D31EE">
      <w:r>
        <w:t xml:space="preserve">More information on Harmonisation can be found </w:t>
      </w:r>
      <w:hyperlink r:id="rId6" w:history="1">
        <w:r w:rsidRPr="006D2866">
          <w:rPr>
            <w:rStyle w:val="Hyperlink"/>
          </w:rPr>
          <w:t>here</w:t>
        </w:r>
      </w:hyperlink>
      <w:r>
        <w:t>.</w:t>
      </w:r>
    </w:p>
    <w:p w14:paraId="15DBA12D" w14:textId="77777777" w:rsidR="006617F5" w:rsidRDefault="006617F5"/>
    <w:p w14:paraId="25C30275" w14:textId="77777777" w:rsidR="0055523F" w:rsidRPr="006617F5" w:rsidRDefault="0055523F">
      <w:pPr>
        <w:rPr>
          <w:b/>
        </w:rPr>
      </w:pPr>
      <w:r w:rsidRPr="006617F5">
        <w:rPr>
          <w:b/>
        </w:rPr>
        <w:t>Why is Harmonisation important</w:t>
      </w:r>
    </w:p>
    <w:p w14:paraId="45420471" w14:textId="77777777" w:rsidR="006617F5" w:rsidRDefault="006617F5">
      <w:r w:rsidRPr="00781B4A">
        <w:t>Harmonisation allows analysts to work together to gain deeper insight from their data. This delivers more meaningful statistics that give users a greater level of understanding</w:t>
      </w:r>
      <w:r>
        <w:t>.</w:t>
      </w:r>
    </w:p>
    <w:p w14:paraId="10B136E6" w14:textId="77777777" w:rsidR="006617F5" w:rsidRPr="006A463C" w:rsidRDefault="006D2866" w:rsidP="006617F5">
      <w:r>
        <w:t>B</w:t>
      </w:r>
      <w:r w:rsidR="006617F5" w:rsidRPr="006A463C">
        <w:t xml:space="preserve">ringing experts together can </w:t>
      </w:r>
      <w:r>
        <w:t xml:space="preserve">also </w:t>
      </w:r>
      <w:r w:rsidR="006617F5" w:rsidRPr="006A463C">
        <w:t xml:space="preserve">take advantage of shared knowledge across the system, developing ways to best capture data </w:t>
      </w:r>
      <w:r w:rsidR="006617F5">
        <w:t xml:space="preserve">and produce Official Statistics </w:t>
      </w:r>
      <w:r w:rsidR="006617F5" w:rsidRPr="006A463C">
        <w:t>that answer user questions. As well as achieving cost savings by realising efficiencies of avoidin</w:t>
      </w:r>
      <w:r w:rsidR="006617F5">
        <w:t>g duplication.</w:t>
      </w:r>
    </w:p>
    <w:p w14:paraId="7993D2D8" w14:textId="77777777" w:rsidR="006617F5" w:rsidRDefault="006617F5" w:rsidP="006617F5">
      <w:r w:rsidRPr="006A463C">
        <w:t xml:space="preserve">Additionally, Harmonisation is required to comply </w:t>
      </w:r>
      <w:r>
        <w:t>with</w:t>
      </w:r>
      <w:r w:rsidRPr="006A463C">
        <w:t xml:space="preserve"> the </w:t>
      </w:r>
      <w:hyperlink r:id="rId7" w:history="1">
        <w:r w:rsidRPr="003731B8">
          <w:rPr>
            <w:rStyle w:val="Hyperlink"/>
          </w:rPr>
          <w:t>Code of Practice for Statistics</w:t>
        </w:r>
      </w:hyperlink>
      <w:r w:rsidR="006D2866">
        <w:t>.</w:t>
      </w:r>
    </w:p>
    <w:p w14:paraId="370C98A3" w14:textId="77777777" w:rsidR="006617F5" w:rsidRDefault="006617F5"/>
    <w:p w14:paraId="79487BE7" w14:textId="61DC70D1" w:rsidR="0055523F" w:rsidRPr="006617F5" w:rsidRDefault="0055523F">
      <w:pPr>
        <w:rPr>
          <w:b/>
        </w:rPr>
      </w:pPr>
      <w:r w:rsidRPr="006617F5">
        <w:rPr>
          <w:b/>
        </w:rPr>
        <w:t xml:space="preserve">Who </w:t>
      </w:r>
      <w:r w:rsidR="00FF314C">
        <w:rPr>
          <w:b/>
        </w:rPr>
        <w:t>are</w:t>
      </w:r>
      <w:r w:rsidRPr="006617F5">
        <w:rPr>
          <w:b/>
        </w:rPr>
        <w:t xml:space="preserve"> the </w:t>
      </w:r>
      <w:r w:rsidR="006617F5" w:rsidRPr="006617F5">
        <w:rPr>
          <w:b/>
        </w:rPr>
        <w:t xml:space="preserve">GSS </w:t>
      </w:r>
      <w:r w:rsidRPr="006617F5">
        <w:rPr>
          <w:b/>
        </w:rPr>
        <w:t>Harmonisation Team?</w:t>
      </w:r>
    </w:p>
    <w:p w14:paraId="6CC65330" w14:textId="2E24F6D3" w:rsidR="00567051" w:rsidRDefault="006617F5">
      <w:r w:rsidRPr="006A463C">
        <w:t xml:space="preserve">The </w:t>
      </w:r>
      <w:r w:rsidRPr="00567051">
        <w:t>GSS Harmonisation Team</w:t>
      </w:r>
      <w:r w:rsidRPr="006A463C">
        <w:t xml:space="preserve"> </w:t>
      </w:r>
      <w:r w:rsidR="00FF314C">
        <w:t>are</w:t>
      </w:r>
      <w:r w:rsidRPr="006A463C">
        <w:t xml:space="preserve"> a team of researchers and statisticians. Within the </w:t>
      </w:r>
      <w:r w:rsidRPr="00567051">
        <w:t>Best Practice and Impact</w:t>
      </w:r>
      <w:r w:rsidRPr="006A463C">
        <w:t xml:space="preserve"> (BPI) division at the Office for National Statistics (ONS). The team works on a cross-governmental programme of work to </w:t>
      </w:r>
      <w:r>
        <w:t>support the GSS by improving harmonisation</w:t>
      </w:r>
      <w:r w:rsidRPr="006A463C">
        <w:t>. To provide clearer and more robust comparison between data sources.</w:t>
      </w:r>
      <w:r w:rsidR="00567051">
        <w:t xml:space="preserve"> </w:t>
      </w:r>
    </w:p>
    <w:p w14:paraId="0F724576" w14:textId="77777777" w:rsidR="00567051" w:rsidRDefault="00567051" w:rsidP="00567051">
      <w:r>
        <w:t>Further information on t</w:t>
      </w:r>
      <w:r w:rsidRPr="006A463C">
        <w:t xml:space="preserve">he </w:t>
      </w:r>
      <w:r w:rsidRPr="00567051">
        <w:t>Best Practice and Impact</w:t>
      </w:r>
      <w:r w:rsidRPr="006A463C">
        <w:t xml:space="preserve"> (BPI) division</w:t>
      </w:r>
      <w:r>
        <w:t xml:space="preserve"> can be found </w:t>
      </w:r>
      <w:hyperlink r:id="rId8" w:history="1">
        <w:r w:rsidRPr="006617F5">
          <w:rPr>
            <w:rStyle w:val="Hyperlink"/>
          </w:rPr>
          <w:t>here</w:t>
        </w:r>
      </w:hyperlink>
      <w:r>
        <w:t>.</w:t>
      </w:r>
    </w:p>
    <w:p w14:paraId="2DDF7E6F" w14:textId="77777777" w:rsidR="006D2866" w:rsidRDefault="006D2866"/>
    <w:p w14:paraId="7202357F" w14:textId="77777777" w:rsidR="0055523F" w:rsidRDefault="0055523F">
      <w:pPr>
        <w:rPr>
          <w:b/>
        </w:rPr>
      </w:pPr>
      <w:r w:rsidRPr="006617F5">
        <w:rPr>
          <w:b/>
        </w:rPr>
        <w:t xml:space="preserve">What is </w:t>
      </w:r>
      <w:r w:rsidR="006617F5" w:rsidRPr="006617F5">
        <w:rPr>
          <w:b/>
        </w:rPr>
        <w:t>the GSS Harmonisation Champion Network (HCN)</w:t>
      </w:r>
      <w:r w:rsidR="006617F5">
        <w:rPr>
          <w:b/>
        </w:rPr>
        <w:t xml:space="preserve"> and a </w:t>
      </w:r>
      <w:r w:rsidRPr="006617F5">
        <w:rPr>
          <w:b/>
        </w:rPr>
        <w:t>Harmonisation Champion?</w:t>
      </w:r>
    </w:p>
    <w:p w14:paraId="59CB4CC9" w14:textId="0CF1A7E7" w:rsidR="006617F5" w:rsidRDefault="006617F5">
      <w:r>
        <w:t xml:space="preserve">The </w:t>
      </w:r>
      <w:r w:rsidR="009F2909">
        <w:t>Harmonisation</w:t>
      </w:r>
      <w:r>
        <w:t xml:space="preserve"> C</w:t>
      </w:r>
      <w:r w:rsidRPr="006617F5">
        <w:t xml:space="preserve">hampions </w:t>
      </w:r>
      <w:r>
        <w:t xml:space="preserve">Network </w:t>
      </w:r>
      <w:r w:rsidRPr="006617F5">
        <w:t>work</w:t>
      </w:r>
      <w:r>
        <w:t>s</w:t>
      </w:r>
      <w:r w:rsidRPr="006617F5">
        <w:t xml:space="preserve"> across the GSS to increase awareness of harmonisation and the help available.</w:t>
      </w:r>
      <w:r>
        <w:t xml:space="preserve"> Further information on which can be found </w:t>
      </w:r>
      <w:hyperlink r:id="rId9" w:history="1">
        <w:r w:rsidRPr="006617F5">
          <w:rPr>
            <w:rStyle w:val="Hyperlink"/>
          </w:rPr>
          <w:t>here</w:t>
        </w:r>
      </w:hyperlink>
      <w:r>
        <w:t xml:space="preserve">. </w:t>
      </w:r>
    </w:p>
    <w:p w14:paraId="674D9A67" w14:textId="1316AE55" w:rsidR="006617F5" w:rsidRDefault="006617F5">
      <w:r w:rsidRPr="006617F5">
        <w:lastRenderedPageBreak/>
        <w:t xml:space="preserve">Each government department </w:t>
      </w:r>
      <w:r>
        <w:t>has a</w:t>
      </w:r>
      <w:r w:rsidRPr="006617F5">
        <w:t xml:space="preserve"> nominate</w:t>
      </w:r>
      <w:r>
        <w:t>d</w:t>
      </w:r>
      <w:r w:rsidRPr="006617F5">
        <w:t xml:space="preserve"> harmonisation champion (or several champions) to work with the network of harmonisation champions across the GSS.</w:t>
      </w:r>
      <w:r>
        <w:t xml:space="preserve"> Details </w:t>
      </w:r>
      <w:r w:rsidR="00C30D41">
        <w:t xml:space="preserve">on these champions </w:t>
      </w:r>
      <w:r w:rsidR="00FB5C06">
        <w:t xml:space="preserve">and </w:t>
      </w:r>
      <w:r w:rsidR="00C30D41">
        <w:t xml:space="preserve">can be found </w:t>
      </w:r>
      <w:hyperlink r:id="rId10" w:anchor="gid=0" w:history="1">
        <w:r w:rsidR="00C30D41" w:rsidRPr="00C30D41">
          <w:rPr>
            <w:rStyle w:val="Hyperlink"/>
          </w:rPr>
          <w:t>here</w:t>
        </w:r>
      </w:hyperlink>
      <w:r w:rsidR="00C30D41">
        <w:t>.</w:t>
      </w:r>
    </w:p>
    <w:p w14:paraId="27294407" w14:textId="77777777" w:rsidR="00F4627B" w:rsidRPr="006617F5" w:rsidRDefault="00F4627B"/>
    <w:p w14:paraId="75237584" w14:textId="36352CAE" w:rsidR="0055523F" w:rsidRDefault="0055523F">
      <w:pPr>
        <w:rPr>
          <w:b/>
        </w:rPr>
      </w:pPr>
      <w:r w:rsidRPr="006617F5">
        <w:rPr>
          <w:b/>
        </w:rPr>
        <w:t xml:space="preserve">What is a Harmonised </w:t>
      </w:r>
      <w:r w:rsidR="00567051">
        <w:rPr>
          <w:b/>
        </w:rPr>
        <w:t>q</w:t>
      </w:r>
      <w:r w:rsidRPr="006617F5">
        <w:rPr>
          <w:b/>
        </w:rPr>
        <w:t>uestion / princip</w:t>
      </w:r>
      <w:r w:rsidR="00CF1B38">
        <w:rPr>
          <w:b/>
        </w:rPr>
        <w:t>le</w:t>
      </w:r>
      <w:r w:rsidRPr="006617F5">
        <w:rPr>
          <w:b/>
        </w:rPr>
        <w:t>?</w:t>
      </w:r>
    </w:p>
    <w:p w14:paraId="6C6032E6" w14:textId="30FFDD36" w:rsidR="00F4627B" w:rsidRDefault="00F4627B">
      <w:r w:rsidRPr="00F4627B">
        <w:t>Harmonised principles are guidance on how to make statistics more comparable by encouraging producers to use the same methods of data collection an</w:t>
      </w:r>
      <w:bookmarkStart w:id="0" w:name="_GoBack"/>
      <w:bookmarkEnd w:id="0"/>
      <w:r w:rsidRPr="00F4627B">
        <w:t>d presentation. The principles include definitions, survey questions, standards for administrative data, rules for presentation and guidance for users</w:t>
      </w:r>
      <w:r w:rsidR="00567051">
        <w:t xml:space="preserve">. Our full list of </w:t>
      </w:r>
      <w:r w:rsidR="00567051" w:rsidRPr="00567051">
        <w:t xml:space="preserve">Harmonised </w:t>
      </w:r>
      <w:r w:rsidR="00567051">
        <w:t>q</w:t>
      </w:r>
      <w:r w:rsidR="00567051" w:rsidRPr="00567051">
        <w:t>uestion</w:t>
      </w:r>
      <w:r w:rsidR="00567051">
        <w:t>s</w:t>
      </w:r>
      <w:r w:rsidR="00567051" w:rsidRPr="00567051">
        <w:t xml:space="preserve"> / princip</w:t>
      </w:r>
      <w:r w:rsidR="00CF1B38">
        <w:t>le</w:t>
      </w:r>
      <w:r w:rsidR="00567051">
        <w:t xml:space="preserve">s can be found </w:t>
      </w:r>
      <w:hyperlink r:id="rId11" w:history="1">
        <w:r w:rsidR="00567051" w:rsidRPr="00567051">
          <w:rPr>
            <w:rStyle w:val="Hyperlink"/>
          </w:rPr>
          <w:t>here</w:t>
        </w:r>
      </w:hyperlink>
      <w:r w:rsidR="00567051">
        <w:t>.</w:t>
      </w:r>
    </w:p>
    <w:p w14:paraId="418D9BC3" w14:textId="77777777" w:rsidR="00F4627B" w:rsidRPr="00F4627B" w:rsidRDefault="00F4627B"/>
    <w:p w14:paraId="709D6B91" w14:textId="77777777" w:rsidR="00F4627B" w:rsidRDefault="00F4627B" w:rsidP="00F4627B">
      <w:pPr>
        <w:rPr>
          <w:b/>
        </w:rPr>
      </w:pPr>
      <w:r w:rsidRPr="006617F5">
        <w:rPr>
          <w:b/>
        </w:rPr>
        <w:t>What is a Harmonisation topic?</w:t>
      </w:r>
    </w:p>
    <w:p w14:paraId="623490CF" w14:textId="62D63DD4" w:rsidR="00567051" w:rsidRPr="006617F5" w:rsidRDefault="00567051" w:rsidP="00F4627B">
      <w:pPr>
        <w:rPr>
          <w:b/>
        </w:rPr>
      </w:pPr>
      <w:r w:rsidRPr="00567051">
        <w:t>Harmonisation topics are related themes under which</w:t>
      </w:r>
      <w:r>
        <w:rPr>
          <w:b/>
        </w:rPr>
        <w:t xml:space="preserve"> </w:t>
      </w:r>
      <w:r w:rsidRPr="00F4627B">
        <w:t xml:space="preserve">Harmonised </w:t>
      </w:r>
      <w:r>
        <w:t>guidance and</w:t>
      </w:r>
      <w:r w:rsidR="00CF1B38">
        <w:t>/</w:t>
      </w:r>
      <w:r>
        <w:t xml:space="preserve">or </w:t>
      </w:r>
      <w:r w:rsidRPr="00F4627B">
        <w:t>principles</w:t>
      </w:r>
      <w:r>
        <w:t xml:space="preserve"> are grouped e.g. health, housing, demographics</w:t>
      </w:r>
      <w:r w:rsidRPr="00F4627B">
        <w:t>.</w:t>
      </w:r>
      <w:r>
        <w:t xml:space="preserve"> Our full list of topics can be found </w:t>
      </w:r>
      <w:hyperlink r:id="rId12" w:history="1">
        <w:r w:rsidRPr="00567051">
          <w:rPr>
            <w:rStyle w:val="Hyperlink"/>
          </w:rPr>
          <w:t>here</w:t>
        </w:r>
      </w:hyperlink>
      <w:r>
        <w:t xml:space="preserve">. </w:t>
      </w:r>
    </w:p>
    <w:p w14:paraId="15A44E36" w14:textId="77777777" w:rsidR="009F2909" w:rsidRDefault="009F2909" w:rsidP="00F4627B">
      <w:pPr>
        <w:rPr>
          <w:b/>
        </w:rPr>
      </w:pPr>
    </w:p>
    <w:p w14:paraId="5B592E81" w14:textId="77777777" w:rsidR="00F4627B" w:rsidRDefault="00F4627B" w:rsidP="00F4627B">
      <w:pPr>
        <w:rPr>
          <w:b/>
        </w:rPr>
      </w:pPr>
      <w:r w:rsidRPr="006617F5">
        <w:rPr>
          <w:b/>
        </w:rPr>
        <w:t xml:space="preserve">What is a Harmonisation topic </w:t>
      </w:r>
      <w:r w:rsidR="009F2909">
        <w:rPr>
          <w:b/>
        </w:rPr>
        <w:t xml:space="preserve">group and </w:t>
      </w:r>
      <w:r w:rsidRPr="006617F5">
        <w:rPr>
          <w:b/>
        </w:rPr>
        <w:t>lead?</w:t>
      </w:r>
    </w:p>
    <w:p w14:paraId="0759F03F" w14:textId="77777777" w:rsidR="009F2909" w:rsidRPr="006617F5" w:rsidRDefault="009F2909" w:rsidP="00F4627B">
      <w:pPr>
        <w:rPr>
          <w:b/>
        </w:rPr>
      </w:pPr>
      <w:r w:rsidRPr="00567051">
        <w:t>Harmonisation topics</w:t>
      </w:r>
      <w:r>
        <w:t xml:space="preserve"> are usually underpinned by a topic group, which are a working group of experts on that subject drawn from across the GSS. The chair of this group is the topic lead. </w:t>
      </w:r>
    </w:p>
    <w:p w14:paraId="20624B26" w14:textId="77777777" w:rsidR="00F4627B" w:rsidRDefault="00F4627B">
      <w:pPr>
        <w:rPr>
          <w:b/>
        </w:rPr>
      </w:pPr>
    </w:p>
    <w:p w14:paraId="75E9B55C" w14:textId="77777777" w:rsidR="0055523F" w:rsidRPr="006617F5" w:rsidRDefault="0055523F">
      <w:pPr>
        <w:rPr>
          <w:b/>
        </w:rPr>
      </w:pPr>
      <w:r w:rsidRPr="006617F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68F6798" wp14:editId="3685FFEC">
            <wp:simplePos x="0" y="0"/>
            <wp:positionH relativeFrom="margin">
              <wp:posOffset>3354705</wp:posOffset>
            </wp:positionH>
            <wp:positionV relativeFrom="bottomMargin">
              <wp:align>top</wp:align>
            </wp:positionV>
            <wp:extent cx="3023870" cy="6159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7F5">
        <w:rPr>
          <w:b/>
        </w:rPr>
        <w:t xml:space="preserve">Who should I contact with any further questions? </w:t>
      </w:r>
    </w:p>
    <w:p w14:paraId="21DF9258" w14:textId="77777777" w:rsidR="006617F5" w:rsidRPr="0036018E" w:rsidRDefault="00C30D41" w:rsidP="00C30D41">
      <w:r w:rsidRPr="00C30D41">
        <w:t xml:space="preserve">To find out more about harmonisation please email us at: </w:t>
      </w:r>
      <w:hyperlink r:id="rId14" w:history="1">
        <w:r w:rsidR="00026973" w:rsidRPr="00DB125C">
          <w:rPr>
            <w:rStyle w:val="Hyperlink"/>
          </w:rPr>
          <w:t>GSShelp@statistics.gov.uk</w:t>
        </w:r>
      </w:hyperlink>
      <w:r>
        <w:t xml:space="preserve"> or visit the harmonisation pages on the </w:t>
      </w:r>
      <w:r w:rsidR="006617F5" w:rsidRPr="0036018E">
        <w:rPr>
          <w:iCs/>
        </w:rPr>
        <w:t xml:space="preserve">GSS website: </w:t>
      </w:r>
      <w:hyperlink r:id="rId15" w:history="1">
        <w:r w:rsidR="006617F5" w:rsidRPr="0036018E">
          <w:rPr>
            <w:rStyle w:val="Hyperlink"/>
          </w:rPr>
          <w:t>https://gss.civilservice.gov.uk/guidances/harmonisation/</w:t>
        </w:r>
      </w:hyperlink>
    </w:p>
    <w:p w14:paraId="18FE00A1" w14:textId="77777777" w:rsidR="006617F5" w:rsidRDefault="006617F5"/>
    <w:sectPr w:rsidR="00661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3F"/>
    <w:rsid w:val="00026973"/>
    <w:rsid w:val="003D31EE"/>
    <w:rsid w:val="00511040"/>
    <w:rsid w:val="0055523F"/>
    <w:rsid w:val="00567051"/>
    <w:rsid w:val="006617F5"/>
    <w:rsid w:val="006D2866"/>
    <w:rsid w:val="007D3421"/>
    <w:rsid w:val="0082510C"/>
    <w:rsid w:val="009F2909"/>
    <w:rsid w:val="00B546C5"/>
    <w:rsid w:val="00C30D41"/>
    <w:rsid w:val="00CF1B38"/>
    <w:rsid w:val="00F4627B"/>
    <w:rsid w:val="00FB5C06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24E1"/>
  <w15:chartTrackingRefBased/>
  <w15:docId w15:val="{B9541AF6-6F84-40F3-B432-F4E8FDBC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31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7F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D286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s.civilservice.gov.uk/about-us/support-for-the-gss/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statisticsauthority.gov.uk/code-of-practice/" TargetMode="External"/><Relationship Id="rId12" Type="http://schemas.openxmlformats.org/officeDocument/2006/relationships/hyperlink" Target="https://gss.civilservice.gov.uk/guidances/0-harmonised-principl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ss.civilservice.gov.uk/guidances/harmonisation/" TargetMode="External"/><Relationship Id="rId11" Type="http://schemas.openxmlformats.org/officeDocument/2006/relationships/hyperlink" Target="https://gss.civilservice.gov.uk/guidances/0-harmonised-principles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gss.civilservice.gov.uk/guidances/harmonisation/" TargetMode="External"/><Relationship Id="rId10" Type="http://schemas.openxmlformats.org/officeDocument/2006/relationships/hyperlink" Target="https://docs.google.com/spreadsheets/d/1DhEdDhmYj_e8VTO30hn7baM7m6rFhmpeUTANG_o5r3o/ed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ss.civilservice.gov.uk/about-us/champion-networks/harmonisation-champions/" TargetMode="External"/><Relationship Id="rId14" Type="http://schemas.openxmlformats.org/officeDocument/2006/relationships/hyperlink" Target="mailto:GSShelp@statistic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Perks, William</dc:creator>
  <cp:keywords/>
  <dc:description/>
  <cp:lastModifiedBy>Hutchinson, Daisie</cp:lastModifiedBy>
  <cp:revision>2</cp:revision>
  <dcterms:created xsi:type="dcterms:W3CDTF">2019-05-09T13:44:00Z</dcterms:created>
  <dcterms:modified xsi:type="dcterms:W3CDTF">2019-05-09T13:44:00Z</dcterms:modified>
</cp:coreProperties>
</file>