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34" w:rsidRDefault="00852834" w:rsidP="00852834">
      <w:pPr>
        <w:autoSpaceDE w:val="0"/>
        <w:autoSpaceDN w:val="0"/>
        <w:adjustRightInd w:val="0"/>
        <w:spacing w:after="0" w:line="240" w:lineRule="auto"/>
        <w:jc w:val="center"/>
        <w:rPr>
          <w:rFonts w:ascii="Helv" w:hAnsi="Helv" w:cs="Helv"/>
          <w:b/>
          <w:bCs/>
          <w:color w:val="365F91" w:themeColor="accent1" w:themeShade="BF"/>
          <w:sz w:val="24"/>
          <w:szCs w:val="20"/>
        </w:rPr>
      </w:pPr>
      <w:r>
        <w:rPr>
          <w:rFonts w:ascii="Helv" w:hAnsi="Helv" w:cs="Helv"/>
          <w:b/>
          <w:bCs/>
          <w:noProof/>
          <w:color w:val="365F91" w:themeColor="accent1" w:themeShade="BF"/>
          <w:sz w:val="24"/>
          <w:szCs w:val="20"/>
          <w:lang w:eastAsia="en-GB"/>
        </w:rPr>
        <w:drawing>
          <wp:anchor distT="0" distB="0" distL="114300" distR="114300" simplePos="0" relativeHeight="251658240" behindDoc="0" locked="0" layoutInCell="1" allowOverlap="1">
            <wp:simplePos x="0" y="0"/>
            <wp:positionH relativeFrom="column">
              <wp:posOffset>4567299</wp:posOffset>
            </wp:positionH>
            <wp:positionV relativeFrom="paragraph">
              <wp:posOffset>-843148</wp:posOffset>
            </wp:positionV>
            <wp:extent cx="2023506" cy="926275"/>
            <wp:effectExtent l="19050" t="0" r="0" b="0"/>
            <wp:wrapNone/>
            <wp:docPr id="2" name="Picture 1" descr="\\ndata13\woodhn$\My Documents\My Pictures\GPT template back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ta13\woodhn$\My Documents\My Pictures\GPT template backdrop.jpg"/>
                    <pic:cNvPicPr>
                      <a:picLocks noChangeAspect="1" noChangeArrowheads="1"/>
                    </pic:cNvPicPr>
                  </pic:nvPicPr>
                  <pic:blipFill>
                    <a:blip r:embed="rId5" cstate="print"/>
                    <a:srcRect t="18518" b="20106"/>
                    <a:stretch>
                      <a:fillRect/>
                    </a:stretch>
                  </pic:blipFill>
                  <pic:spPr bwMode="auto">
                    <a:xfrm>
                      <a:off x="0" y="0"/>
                      <a:ext cx="2023506" cy="926275"/>
                    </a:xfrm>
                    <a:prstGeom prst="rect">
                      <a:avLst/>
                    </a:prstGeom>
                    <a:noFill/>
                    <a:ln w="9525">
                      <a:noFill/>
                      <a:miter lim="800000"/>
                      <a:headEnd/>
                      <a:tailEnd/>
                    </a:ln>
                  </pic:spPr>
                </pic:pic>
              </a:graphicData>
            </a:graphic>
          </wp:anchor>
        </w:drawing>
      </w:r>
      <w:r w:rsidR="00E0372A" w:rsidRPr="00E0372A">
        <w:rPr>
          <w:rFonts w:ascii="Helv" w:hAnsi="Helv" w:cs="Helv"/>
          <w:b/>
          <w:bCs/>
          <w:color w:val="365F91" w:themeColor="accent1" w:themeShade="BF"/>
          <w:sz w:val="24"/>
          <w:szCs w:val="20"/>
        </w:rPr>
        <w:t>G</w:t>
      </w:r>
      <w:r>
        <w:rPr>
          <w:rFonts w:ascii="Helv" w:hAnsi="Helv" w:cs="Helv"/>
          <w:b/>
          <w:bCs/>
          <w:color w:val="365F91" w:themeColor="accent1" w:themeShade="BF"/>
          <w:sz w:val="24"/>
          <w:szCs w:val="20"/>
        </w:rPr>
        <w:t xml:space="preserve">overnment Statistical Service </w:t>
      </w:r>
    </w:p>
    <w:p w:rsidR="00E0372A" w:rsidRPr="00E0372A" w:rsidRDefault="00852834" w:rsidP="00E0372A">
      <w:pPr>
        <w:autoSpaceDE w:val="0"/>
        <w:autoSpaceDN w:val="0"/>
        <w:adjustRightInd w:val="0"/>
        <w:spacing w:after="0" w:line="240" w:lineRule="auto"/>
        <w:jc w:val="center"/>
        <w:rPr>
          <w:rFonts w:ascii="Helv" w:hAnsi="Helv" w:cs="Helv"/>
          <w:b/>
          <w:bCs/>
          <w:color w:val="365F91" w:themeColor="accent1" w:themeShade="BF"/>
          <w:sz w:val="24"/>
          <w:szCs w:val="20"/>
        </w:rPr>
      </w:pPr>
      <w:r w:rsidRPr="00E0372A">
        <w:rPr>
          <w:rFonts w:ascii="Helv" w:hAnsi="Helv" w:cs="Helv"/>
          <w:b/>
          <w:bCs/>
          <w:color w:val="365F91" w:themeColor="accent1" w:themeShade="BF"/>
          <w:sz w:val="24"/>
          <w:szCs w:val="20"/>
        </w:rPr>
        <w:t xml:space="preserve">Good Practice Team </w:t>
      </w:r>
      <w:r>
        <w:rPr>
          <w:rFonts w:ascii="Helv" w:hAnsi="Helv" w:cs="Helv"/>
          <w:b/>
          <w:bCs/>
          <w:color w:val="365F91" w:themeColor="accent1" w:themeShade="BF"/>
          <w:sz w:val="24"/>
          <w:szCs w:val="20"/>
        </w:rPr>
        <w:t xml:space="preserve">- </w:t>
      </w:r>
      <w:r w:rsidR="00E0372A" w:rsidRPr="00E0372A">
        <w:rPr>
          <w:rFonts w:ascii="Helv" w:hAnsi="Helv" w:cs="Helv"/>
          <w:b/>
          <w:bCs/>
          <w:color w:val="365F91" w:themeColor="accent1" w:themeShade="BF"/>
          <w:sz w:val="24"/>
          <w:szCs w:val="20"/>
        </w:rPr>
        <w:t>2016 Secondment Opportunity</w:t>
      </w:r>
    </w:p>
    <w:p w:rsidR="00E0372A" w:rsidRDefault="00E0372A" w:rsidP="00E0372A">
      <w:pPr>
        <w:autoSpaceDE w:val="0"/>
        <w:autoSpaceDN w:val="0"/>
        <w:adjustRightInd w:val="0"/>
        <w:spacing w:after="0" w:line="240" w:lineRule="auto"/>
        <w:rPr>
          <w:rFonts w:ascii="Helv" w:hAnsi="Helv" w:cs="Helv"/>
          <w:b/>
          <w:bCs/>
          <w:sz w:val="20"/>
          <w:szCs w:val="20"/>
        </w:rPr>
      </w:pPr>
    </w:p>
    <w:p w:rsidR="00E0372A" w:rsidRDefault="00E0372A" w:rsidP="00E0372A">
      <w:pPr>
        <w:autoSpaceDE w:val="0"/>
        <w:autoSpaceDN w:val="0"/>
        <w:adjustRightInd w:val="0"/>
        <w:spacing w:after="0" w:line="240" w:lineRule="auto"/>
        <w:rPr>
          <w:rFonts w:ascii="Helv" w:hAnsi="Helv" w:cs="Helv"/>
          <w:b/>
          <w:bCs/>
          <w:sz w:val="20"/>
          <w:szCs w:val="20"/>
        </w:rPr>
      </w:pPr>
      <w:r>
        <w:rPr>
          <w:rFonts w:ascii="Arial" w:hAnsi="Arial" w:cs="Arial"/>
          <w:color w:val="000000"/>
          <w:sz w:val="20"/>
          <w:szCs w:val="20"/>
        </w:rPr>
        <w:t>The Good Practice Team was created to help enable the G</w:t>
      </w:r>
      <w:r w:rsidR="00852834">
        <w:rPr>
          <w:rFonts w:ascii="Arial" w:hAnsi="Arial" w:cs="Arial"/>
          <w:color w:val="000000"/>
          <w:sz w:val="20"/>
          <w:szCs w:val="20"/>
        </w:rPr>
        <w:t>overnment Statistical Service (GSS)</w:t>
      </w:r>
      <w:r>
        <w:rPr>
          <w:rFonts w:ascii="Arial" w:hAnsi="Arial" w:cs="Arial"/>
          <w:color w:val="000000"/>
          <w:sz w:val="20"/>
          <w:szCs w:val="20"/>
        </w:rPr>
        <w:t xml:space="preserve"> to be the best that it can be. Our role is to promote and share statistical good practice across the GSS and create opportunities for collaboration within and between departments. To help facilitate our work, we’re offering </w:t>
      </w:r>
      <w:r w:rsidR="00852834">
        <w:rPr>
          <w:rFonts w:ascii="Arial" w:hAnsi="Arial" w:cs="Arial"/>
          <w:color w:val="000000"/>
          <w:sz w:val="20"/>
          <w:szCs w:val="20"/>
        </w:rPr>
        <w:t xml:space="preserve">existing </w:t>
      </w:r>
      <w:r>
        <w:rPr>
          <w:rFonts w:ascii="Arial" w:hAnsi="Arial" w:cs="Arial"/>
          <w:color w:val="000000"/>
          <w:sz w:val="20"/>
          <w:szCs w:val="20"/>
        </w:rPr>
        <w:t xml:space="preserve">GSS members the chance to join the GPT on short term secondment. </w:t>
      </w:r>
    </w:p>
    <w:p w:rsidR="00E0372A" w:rsidRPr="00E0372A" w:rsidRDefault="00E0372A" w:rsidP="00E0372A">
      <w:pPr>
        <w:autoSpaceDE w:val="0"/>
        <w:autoSpaceDN w:val="0"/>
        <w:adjustRightInd w:val="0"/>
        <w:spacing w:after="0" w:line="240" w:lineRule="auto"/>
        <w:rPr>
          <w:rFonts w:ascii="Helv" w:hAnsi="Helv" w:cs="Helv"/>
          <w:b/>
          <w:bCs/>
          <w:color w:val="365F91" w:themeColor="accent1" w:themeShade="BF"/>
          <w:sz w:val="20"/>
          <w:szCs w:val="20"/>
        </w:rPr>
      </w:pPr>
    </w:p>
    <w:p w:rsidR="00E0372A" w:rsidRPr="00E0372A" w:rsidRDefault="00E0372A" w:rsidP="00E0372A">
      <w:pPr>
        <w:autoSpaceDE w:val="0"/>
        <w:autoSpaceDN w:val="0"/>
        <w:adjustRightInd w:val="0"/>
        <w:spacing w:after="0" w:line="240" w:lineRule="auto"/>
        <w:rPr>
          <w:rFonts w:ascii="Helv" w:hAnsi="Helv" w:cs="Helv"/>
          <w:b/>
          <w:bCs/>
          <w:color w:val="365F91" w:themeColor="accent1" w:themeShade="BF"/>
          <w:sz w:val="20"/>
          <w:szCs w:val="20"/>
        </w:rPr>
      </w:pPr>
      <w:r w:rsidRPr="00E0372A">
        <w:rPr>
          <w:rFonts w:ascii="Arial" w:hAnsi="Arial" w:cs="Arial"/>
          <w:b/>
          <w:bCs/>
          <w:color w:val="365F91" w:themeColor="accent1" w:themeShade="BF"/>
          <w:sz w:val="20"/>
          <w:szCs w:val="20"/>
        </w:rPr>
        <w:t xml:space="preserve">What’s on offer? </w:t>
      </w:r>
    </w:p>
    <w:p w:rsidR="00E0372A" w:rsidRDefault="00E0372A" w:rsidP="00E0372A">
      <w:pPr>
        <w:autoSpaceDE w:val="0"/>
        <w:autoSpaceDN w:val="0"/>
        <w:adjustRightInd w:val="0"/>
        <w:spacing w:after="0" w:line="240" w:lineRule="auto"/>
        <w:rPr>
          <w:rFonts w:ascii="Helv" w:hAnsi="Helv" w:cs="Helv"/>
          <w:b/>
          <w:bCs/>
          <w:sz w:val="20"/>
          <w:szCs w:val="20"/>
        </w:rPr>
      </w:pPr>
    </w:p>
    <w:p w:rsidR="00E0372A" w:rsidRDefault="00E0372A" w:rsidP="00E0372A">
      <w:pPr>
        <w:autoSpaceDE w:val="0"/>
        <w:autoSpaceDN w:val="0"/>
        <w:adjustRightInd w:val="0"/>
        <w:spacing w:after="0" w:line="240" w:lineRule="auto"/>
        <w:rPr>
          <w:rFonts w:ascii="Helv" w:hAnsi="Helv" w:cs="Helv"/>
          <w:b/>
          <w:bCs/>
          <w:sz w:val="20"/>
          <w:szCs w:val="20"/>
        </w:rPr>
      </w:pPr>
      <w:r>
        <w:rPr>
          <w:rFonts w:ascii="Arial" w:hAnsi="Arial" w:cs="Arial"/>
          <w:color w:val="000000"/>
          <w:sz w:val="20"/>
          <w:szCs w:val="20"/>
        </w:rPr>
        <w:t xml:space="preserve">The chance to spend between 2 and 4 weeks working as part of the Good Practice Team, based in either our London or Newport office. </w:t>
      </w:r>
    </w:p>
    <w:p w:rsidR="00E0372A" w:rsidRDefault="00E0372A" w:rsidP="00E0372A">
      <w:pPr>
        <w:autoSpaceDE w:val="0"/>
        <w:autoSpaceDN w:val="0"/>
        <w:adjustRightInd w:val="0"/>
        <w:spacing w:after="0" w:line="240" w:lineRule="auto"/>
        <w:rPr>
          <w:rFonts w:ascii="Helv" w:hAnsi="Helv" w:cs="Helv"/>
          <w:b/>
          <w:bCs/>
          <w:sz w:val="20"/>
          <w:szCs w:val="20"/>
        </w:rPr>
      </w:pPr>
    </w:p>
    <w:p w:rsidR="00E0372A" w:rsidRDefault="00E0372A" w:rsidP="00E0372A">
      <w:pPr>
        <w:autoSpaceDE w:val="0"/>
        <w:autoSpaceDN w:val="0"/>
        <w:adjustRightInd w:val="0"/>
        <w:spacing w:after="0" w:line="240" w:lineRule="auto"/>
        <w:rPr>
          <w:rFonts w:ascii="Helv" w:hAnsi="Helv" w:cs="Helv"/>
          <w:b/>
          <w:bCs/>
          <w:sz w:val="20"/>
          <w:szCs w:val="20"/>
        </w:rPr>
      </w:pPr>
      <w:r>
        <w:rPr>
          <w:rFonts w:ascii="Arial" w:hAnsi="Arial" w:cs="Arial"/>
          <w:color w:val="000000"/>
          <w:sz w:val="20"/>
          <w:szCs w:val="20"/>
        </w:rPr>
        <w:t xml:space="preserve">You’ll be given the opportunity to see how the Good Practice Team </w:t>
      </w:r>
      <w:proofErr w:type="gramStart"/>
      <w:r>
        <w:rPr>
          <w:rFonts w:ascii="Arial" w:hAnsi="Arial" w:cs="Arial"/>
          <w:color w:val="000000"/>
          <w:sz w:val="20"/>
          <w:szCs w:val="20"/>
        </w:rPr>
        <w:t>operate</w:t>
      </w:r>
      <w:proofErr w:type="gramEnd"/>
      <w:r>
        <w:rPr>
          <w:rFonts w:ascii="Arial" w:hAnsi="Arial" w:cs="Arial"/>
          <w:color w:val="000000"/>
          <w:sz w:val="20"/>
          <w:szCs w:val="20"/>
        </w:rPr>
        <w:t xml:space="preserve"> and to get involved in delivering our ambitious work programme. You’ll also gain an understanding of the work of the GSS Presentation and Dissemination Committee, learning more how this group provides strategic direction in the GSS. Whilst being fully supported during your time with the GPT, you’ll be given a distinct task to </w:t>
      </w:r>
      <w:r w:rsidRPr="00F1411F">
        <w:rPr>
          <w:rFonts w:ascii="Arial" w:hAnsi="Arial" w:cs="Arial"/>
          <w:sz w:val="20"/>
          <w:szCs w:val="20"/>
        </w:rPr>
        <w:t>make your own</w:t>
      </w:r>
      <w:r w:rsidRPr="00F1411F">
        <w:rPr>
          <w:rFonts w:ascii="Helv" w:hAnsi="Helv" w:cs="Helv"/>
          <w:bCs/>
          <w:sz w:val="20"/>
          <w:szCs w:val="20"/>
        </w:rPr>
        <w:t>,</w:t>
      </w:r>
      <w:r w:rsidRPr="00F1411F">
        <w:rPr>
          <w:rFonts w:ascii="Arial" w:hAnsi="Arial" w:cs="Arial"/>
          <w:sz w:val="20"/>
          <w:szCs w:val="20"/>
        </w:rPr>
        <w:t xml:space="preserve"> </w:t>
      </w:r>
      <w:r w:rsidRPr="00F1411F">
        <w:rPr>
          <w:rFonts w:ascii="Helv" w:hAnsi="Helv" w:cs="Helv"/>
          <w:bCs/>
          <w:sz w:val="20"/>
          <w:szCs w:val="20"/>
        </w:rPr>
        <w:t xml:space="preserve">based </w:t>
      </w:r>
      <w:r w:rsidRPr="00F1411F">
        <w:rPr>
          <w:rFonts w:ascii="Arial" w:hAnsi="Arial" w:cs="Arial"/>
          <w:sz w:val="20"/>
          <w:szCs w:val="20"/>
        </w:rPr>
        <w:t>on your areas</w:t>
      </w:r>
      <w:r>
        <w:rPr>
          <w:rFonts w:ascii="Arial" w:hAnsi="Arial" w:cs="Arial"/>
          <w:color w:val="000000"/>
          <w:sz w:val="20"/>
          <w:szCs w:val="20"/>
        </w:rPr>
        <w:t xml:space="preserve"> of interest and the skills you bring. This </w:t>
      </w:r>
      <w:hyperlink r:id="rId6" w:history="1">
        <w:r>
          <w:rPr>
            <w:rFonts w:ascii="Arial" w:hAnsi="Arial" w:cs="Arial"/>
            <w:color w:val="0000FF"/>
            <w:sz w:val="20"/>
            <w:szCs w:val="20"/>
          </w:rPr>
          <w:t>blog</w:t>
        </w:r>
      </w:hyperlink>
      <w:r>
        <w:rPr>
          <w:rFonts w:ascii="Arial" w:hAnsi="Arial" w:cs="Arial"/>
          <w:color w:val="000000"/>
          <w:sz w:val="20"/>
          <w:szCs w:val="20"/>
        </w:rPr>
        <w:t xml:space="preserve"> from Nicola George</w:t>
      </w:r>
      <w:r>
        <w:rPr>
          <w:rFonts w:ascii="Helv" w:hAnsi="Helv" w:cs="Helv"/>
          <w:b/>
          <w:bCs/>
          <w:color w:val="008000"/>
          <w:sz w:val="20"/>
          <w:szCs w:val="20"/>
        </w:rPr>
        <w:t xml:space="preserve"> </w:t>
      </w:r>
      <w:r w:rsidRPr="00F1411F">
        <w:rPr>
          <w:rFonts w:ascii="Helv" w:hAnsi="Helv" w:cs="Helv"/>
          <w:bCs/>
          <w:sz w:val="20"/>
          <w:szCs w:val="20"/>
        </w:rPr>
        <w:t>from the DfT</w:t>
      </w:r>
      <w:r w:rsidRPr="00F1411F">
        <w:rPr>
          <w:rFonts w:ascii="Arial" w:hAnsi="Arial" w:cs="Arial"/>
          <w:sz w:val="20"/>
          <w:szCs w:val="20"/>
        </w:rPr>
        <w:t xml:space="preserve"> describes</w:t>
      </w:r>
      <w:r>
        <w:rPr>
          <w:rFonts w:ascii="Arial" w:hAnsi="Arial" w:cs="Arial"/>
          <w:color w:val="000000"/>
          <w:sz w:val="20"/>
          <w:szCs w:val="20"/>
        </w:rPr>
        <w:t xml:space="preserve"> the work she undertook as the first secondee on the scheme.</w:t>
      </w:r>
    </w:p>
    <w:p w:rsidR="00E0372A" w:rsidRDefault="00E0372A" w:rsidP="00E0372A">
      <w:pPr>
        <w:autoSpaceDE w:val="0"/>
        <w:autoSpaceDN w:val="0"/>
        <w:adjustRightInd w:val="0"/>
        <w:spacing w:after="0" w:line="240" w:lineRule="auto"/>
        <w:rPr>
          <w:rFonts w:ascii="Helv" w:hAnsi="Helv" w:cs="Helv"/>
          <w:b/>
          <w:bCs/>
          <w:sz w:val="20"/>
          <w:szCs w:val="20"/>
        </w:rPr>
      </w:pPr>
    </w:p>
    <w:p w:rsidR="00E0372A" w:rsidRPr="00E0372A" w:rsidRDefault="00E0372A" w:rsidP="00E0372A">
      <w:pPr>
        <w:autoSpaceDE w:val="0"/>
        <w:autoSpaceDN w:val="0"/>
        <w:adjustRightInd w:val="0"/>
        <w:spacing w:after="0" w:line="240" w:lineRule="auto"/>
        <w:rPr>
          <w:rFonts w:ascii="Helv" w:hAnsi="Helv" w:cs="Helv"/>
          <w:b/>
          <w:bCs/>
          <w:color w:val="365F91" w:themeColor="accent1" w:themeShade="BF"/>
          <w:sz w:val="20"/>
          <w:szCs w:val="20"/>
        </w:rPr>
      </w:pPr>
      <w:r w:rsidRPr="00E0372A">
        <w:rPr>
          <w:rFonts w:ascii="Arial" w:hAnsi="Arial" w:cs="Arial"/>
          <w:b/>
          <w:bCs/>
          <w:color w:val="365F91" w:themeColor="accent1" w:themeShade="BF"/>
          <w:sz w:val="20"/>
          <w:szCs w:val="20"/>
        </w:rPr>
        <w:t>Who should apply?</w:t>
      </w:r>
    </w:p>
    <w:p w:rsidR="00E0372A" w:rsidRDefault="00E0372A" w:rsidP="00E0372A">
      <w:pPr>
        <w:autoSpaceDE w:val="0"/>
        <w:autoSpaceDN w:val="0"/>
        <w:adjustRightInd w:val="0"/>
        <w:spacing w:after="0" w:line="240" w:lineRule="auto"/>
        <w:rPr>
          <w:rFonts w:ascii="Helv" w:hAnsi="Helv" w:cs="Helv"/>
          <w:b/>
          <w:bCs/>
          <w:sz w:val="20"/>
          <w:szCs w:val="20"/>
        </w:rPr>
      </w:pPr>
    </w:p>
    <w:p w:rsidR="00E0372A" w:rsidRDefault="00E0372A" w:rsidP="00E0372A">
      <w:pPr>
        <w:autoSpaceDE w:val="0"/>
        <w:autoSpaceDN w:val="0"/>
        <w:adjustRightInd w:val="0"/>
        <w:spacing w:after="0" w:line="240" w:lineRule="auto"/>
        <w:rPr>
          <w:rFonts w:ascii="Helv" w:hAnsi="Helv" w:cs="Helv"/>
          <w:b/>
          <w:bCs/>
          <w:sz w:val="20"/>
          <w:szCs w:val="20"/>
        </w:rPr>
      </w:pPr>
      <w:r>
        <w:rPr>
          <w:rFonts w:ascii="Arial" w:hAnsi="Arial" w:cs="Arial"/>
          <w:color w:val="000000"/>
          <w:sz w:val="20"/>
          <w:szCs w:val="20"/>
        </w:rPr>
        <w:t>Anyone who is enthusiastic, innovative and passionate about improving official statistics! We’re looking for people who are self</w:t>
      </w:r>
      <w:r>
        <w:rPr>
          <w:rFonts w:ascii="Helv" w:hAnsi="Helv" w:cs="Helv"/>
          <w:b/>
          <w:bCs/>
          <w:color w:val="008000"/>
          <w:sz w:val="20"/>
          <w:szCs w:val="20"/>
        </w:rPr>
        <w:t>-</w:t>
      </w:r>
      <w:r>
        <w:rPr>
          <w:rFonts w:ascii="Arial" w:hAnsi="Arial" w:cs="Arial"/>
          <w:color w:val="000000"/>
          <w:sz w:val="20"/>
          <w:szCs w:val="20"/>
        </w:rPr>
        <w:t xml:space="preserve">motivated and focused on delivering at pace. This opportunity is open to GSS members at all grades and we expect it to be of particular interest to Assistant Statisticians, Higher Statistical Officers and Senior Statistical Officers. </w:t>
      </w:r>
    </w:p>
    <w:p w:rsidR="00E0372A" w:rsidRDefault="00E0372A" w:rsidP="00E0372A">
      <w:pPr>
        <w:autoSpaceDE w:val="0"/>
        <w:autoSpaceDN w:val="0"/>
        <w:adjustRightInd w:val="0"/>
        <w:spacing w:after="0" w:line="240" w:lineRule="auto"/>
        <w:rPr>
          <w:rFonts w:ascii="Helv" w:hAnsi="Helv" w:cs="Helv"/>
          <w:b/>
          <w:bCs/>
          <w:sz w:val="20"/>
          <w:szCs w:val="20"/>
        </w:rPr>
      </w:pPr>
    </w:p>
    <w:p w:rsidR="00E0372A" w:rsidRPr="00E0372A" w:rsidRDefault="00E0372A" w:rsidP="00E0372A">
      <w:pPr>
        <w:autoSpaceDE w:val="0"/>
        <w:autoSpaceDN w:val="0"/>
        <w:adjustRightInd w:val="0"/>
        <w:spacing w:after="0" w:line="240" w:lineRule="auto"/>
        <w:rPr>
          <w:rFonts w:ascii="Arial" w:hAnsi="Arial" w:cs="Arial"/>
          <w:b/>
          <w:bCs/>
          <w:color w:val="365F91" w:themeColor="accent1" w:themeShade="BF"/>
          <w:sz w:val="20"/>
          <w:szCs w:val="20"/>
        </w:rPr>
      </w:pPr>
      <w:r w:rsidRPr="00E0372A">
        <w:rPr>
          <w:rFonts w:ascii="Arial" w:hAnsi="Arial" w:cs="Arial"/>
          <w:b/>
          <w:bCs/>
          <w:color w:val="365F91" w:themeColor="accent1" w:themeShade="BF"/>
          <w:sz w:val="20"/>
          <w:szCs w:val="20"/>
        </w:rPr>
        <w:t>How do you apply?</w:t>
      </w:r>
    </w:p>
    <w:p w:rsidR="00E0372A" w:rsidRDefault="00E0372A" w:rsidP="00E0372A">
      <w:pPr>
        <w:autoSpaceDE w:val="0"/>
        <w:autoSpaceDN w:val="0"/>
        <w:adjustRightInd w:val="0"/>
        <w:spacing w:after="0" w:line="240" w:lineRule="auto"/>
        <w:rPr>
          <w:rFonts w:ascii="Arial" w:hAnsi="Arial" w:cs="Arial"/>
          <w:b/>
          <w:bCs/>
          <w:color w:val="000000"/>
          <w:sz w:val="20"/>
          <w:szCs w:val="20"/>
        </w:rPr>
      </w:pPr>
    </w:p>
    <w:p w:rsidR="00E0372A" w:rsidRDefault="00E0372A" w:rsidP="00E0372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secondment opportunity must be funded by the parent department. Therefore, interested candidates must discuss this opportunity with their line manager and Head of Profession to ensure that the secondment is permitted. Once you have agreement from your line manger, please contact the Head of the Good Practice Team</w:t>
      </w:r>
      <w:r w:rsidR="00852834" w:rsidRPr="00852834">
        <w:rPr>
          <w:rFonts w:ascii="Arial" w:hAnsi="Arial" w:cs="Arial"/>
          <w:color w:val="000000"/>
          <w:sz w:val="20"/>
          <w:szCs w:val="20"/>
        </w:rPr>
        <w:t xml:space="preserve"> </w:t>
      </w:r>
      <w:r w:rsidR="00852834">
        <w:rPr>
          <w:rFonts w:ascii="Arial" w:hAnsi="Arial" w:cs="Arial"/>
          <w:color w:val="000000"/>
          <w:sz w:val="20"/>
          <w:szCs w:val="20"/>
        </w:rPr>
        <w:t xml:space="preserve">to discuss further </w:t>
      </w:r>
      <w:r>
        <w:rPr>
          <w:rFonts w:ascii="Arial" w:hAnsi="Arial" w:cs="Arial"/>
          <w:color w:val="000000"/>
          <w:sz w:val="20"/>
          <w:szCs w:val="20"/>
        </w:rPr>
        <w:t xml:space="preserve">(Martin Ralphs, 0207 5928650, </w:t>
      </w:r>
      <w:hyperlink r:id="rId7" w:history="1">
        <w:r>
          <w:rPr>
            <w:rFonts w:ascii="Arial" w:hAnsi="Arial" w:cs="Arial"/>
            <w:color w:val="0000FF"/>
            <w:sz w:val="20"/>
            <w:szCs w:val="20"/>
            <w:u w:val="single"/>
          </w:rPr>
          <w:t>goodpracticeteam@statistics.gsi.gov.uk</w:t>
        </w:r>
      </w:hyperlink>
      <w:r w:rsidR="00852834">
        <w:rPr>
          <w:rFonts w:ascii="Arial" w:hAnsi="Arial" w:cs="Arial"/>
          <w:color w:val="000000"/>
          <w:sz w:val="20"/>
          <w:szCs w:val="20"/>
        </w:rPr>
        <w:t>).</w:t>
      </w:r>
    </w:p>
    <w:p w:rsidR="00E0372A" w:rsidRDefault="00E0372A" w:rsidP="00E0372A">
      <w:pPr>
        <w:autoSpaceDE w:val="0"/>
        <w:autoSpaceDN w:val="0"/>
        <w:adjustRightInd w:val="0"/>
        <w:spacing w:after="240" w:line="240" w:lineRule="auto"/>
        <w:rPr>
          <w:rFonts w:ascii="Arial" w:hAnsi="Arial" w:cs="Arial"/>
          <w:b/>
          <w:bCs/>
          <w:color w:val="000000"/>
          <w:sz w:val="20"/>
          <w:szCs w:val="20"/>
        </w:rPr>
      </w:pPr>
    </w:p>
    <w:p w:rsidR="00E0372A" w:rsidRPr="00E0372A" w:rsidRDefault="00E0372A" w:rsidP="00E0372A">
      <w:pPr>
        <w:autoSpaceDE w:val="0"/>
        <w:autoSpaceDN w:val="0"/>
        <w:adjustRightInd w:val="0"/>
        <w:spacing w:after="240" w:line="240" w:lineRule="auto"/>
        <w:rPr>
          <w:rFonts w:ascii="Arial" w:hAnsi="Arial" w:cs="Arial"/>
          <w:b/>
          <w:bCs/>
          <w:color w:val="365F91" w:themeColor="accent1" w:themeShade="BF"/>
          <w:sz w:val="20"/>
          <w:szCs w:val="20"/>
        </w:rPr>
      </w:pPr>
      <w:r w:rsidRPr="00E0372A">
        <w:rPr>
          <w:rFonts w:ascii="Arial" w:hAnsi="Arial" w:cs="Arial"/>
          <w:b/>
          <w:bCs/>
          <w:color w:val="365F91" w:themeColor="accent1" w:themeShade="BF"/>
          <w:sz w:val="20"/>
          <w:szCs w:val="20"/>
        </w:rPr>
        <w:t>What work do the GPT do?</w:t>
      </w:r>
    </w:p>
    <w:p w:rsidR="00E0372A" w:rsidRDefault="00E0372A" w:rsidP="00E0372A">
      <w:pPr>
        <w:autoSpaceDE w:val="0"/>
        <w:autoSpaceDN w:val="0"/>
        <w:adjustRightInd w:val="0"/>
        <w:spacing w:after="240" w:line="240" w:lineRule="auto"/>
        <w:rPr>
          <w:rFonts w:ascii="Arial" w:hAnsi="Arial" w:cs="Arial"/>
          <w:color w:val="000000"/>
          <w:sz w:val="20"/>
          <w:szCs w:val="20"/>
        </w:rPr>
      </w:pPr>
      <w:r>
        <w:rPr>
          <w:rFonts w:ascii="Arial" w:hAnsi="Arial" w:cs="Arial"/>
          <w:color w:val="000000"/>
          <w:sz w:val="20"/>
          <w:szCs w:val="20"/>
        </w:rPr>
        <w:t>Our work draws heavily on the</w:t>
      </w:r>
      <w:r>
        <w:rPr>
          <w:rFonts w:ascii="Helv" w:hAnsi="Helv" w:cs="Helv"/>
          <w:b/>
          <w:bCs/>
          <w:color w:val="008000"/>
          <w:sz w:val="20"/>
          <w:szCs w:val="20"/>
        </w:rPr>
        <w:t xml:space="preserve"> </w:t>
      </w:r>
      <w:hyperlink r:id="rId8" w:history="1">
        <w:r w:rsidRPr="00F1411F">
          <w:rPr>
            <w:rStyle w:val="Hyperlink"/>
            <w:rFonts w:ascii="Helv" w:hAnsi="Helv" w:cs="Helv"/>
            <w:bCs/>
            <w:iCs/>
            <w:sz w:val="20"/>
            <w:szCs w:val="20"/>
          </w:rPr>
          <w:t>Better Statistics, Better Decisions</w:t>
        </w:r>
      </w:hyperlink>
      <w:r>
        <w:rPr>
          <w:rFonts w:ascii="Helv" w:hAnsi="Helv" w:cs="Helv"/>
          <w:b/>
          <w:bCs/>
          <w:color w:val="008000"/>
          <w:sz w:val="20"/>
          <w:szCs w:val="20"/>
        </w:rPr>
        <w:t xml:space="preserve"> </w:t>
      </w:r>
      <w:r w:rsidRPr="00F1411F">
        <w:rPr>
          <w:rFonts w:ascii="Helv" w:hAnsi="Helv" w:cs="Helv"/>
          <w:bCs/>
          <w:sz w:val="20"/>
          <w:szCs w:val="20"/>
        </w:rPr>
        <w:t>and the</w:t>
      </w:r>
      <w:r>
        <w:rPr>
          <w:rFonts w:ascii="Helv" w:hAnsi="Helv" w:cs="Helv"/>
          <w:b/>
          <w:bCs/>
          <w:color w:val="008000"/>
          <w:sz w:val="20"/>
          <w:szCs w:val="20"/>
        </w:rPr>
        <w:t xml:space="preserve"> </w:t>
      </w:r>
      <w:hyperlink r:id="rId9" w:history="1">
        <w:r w:rsidRPr="00F1411F">
          <w:rPr>
            <w:rStyle w:val="Hyperlink"/>
            <w:rFonts w:ascii="Arial" w:hAnsi="Arial" w:cs="Arial"/>
            <w:sz w:val="20"/>
            <w:szCs w:val="20"/>
          </w:rPr>
          <w:t>Code of Practice</w:t>
        </w:r>
      </w:hyperlink>
      <w:r>
        <w:rPr>
          <w:rFonts w:ascii="Arial" w:hAnsi="Arial" w:cs="Arial"/>
          <w:color w:val="000000"/>
          <w:sz w:val="20"/>
          <w:szCs w:val="20"/>
        </w:rPr>
        <w:t xml:space="preserve"> for Official Statistics. The team’s interventions include developing and promoting guidance and case studies, supporting producers to meet UK Statistics Authority assessment requirements, designing and delivering seminars and workshops, consultancy and creating and supporting collaborative, cross-government networks. The GPT’s work is aligned closely with the strategic priorities of the UK Statistics Authority Monitoring and Assessment Team and the GSS Presentation and Dissemination Committee. GPT also directly supports emerging priorities from the National Statistician. </w:t>
      </w:r>
    </w:p>
    <w:p w:rsidR="00E0372A" w:rsidRDefault="00E0372A" w:rsidP="00E0372A">
      <w:pPr>
        <w:autoSpaceDE w:val="0"/>
        <w:autoSpaceDN w:val="0"/>
        <w:adjustRightInd w:val="0"/>
        <w:spacing w:after="240" w:line="240" w:lineRule="auto"/>
        <w:rPr>
          <w:rFonts w:ascii="Arial" w:hAnsi="Arial" w:cs="Arial"/>
          <w:color w:val="000000"/>
          <w:sz w:val="20"/>
          <w:szCs w:val="20"/>
        </w:rPr>
      </w:pPr>
      <w:r>
        <w:rPr>
          <w:rFonts w:ascii="Arial" w:hAnsi="Arial" w:cs="Arial"/>
          <w:color w:val="000000"/>
          <w:sz w:val="20"/>
          <w:szCs w:val="20"/>
        </w:rPr>
        <w:t xml:space="preserve">Our priority areas are: </w:t>
      </w:r>
    </w:p>
    <w:p w:rsidR="00E0372A" w:rsidRPr="00E0372A" w:rsidRDefault="00852834" w:rsidP="00E0372A">
      <w:pPr>
        <w:pStyle w:val="ListParagraph"/>
        <w:numPr>
          <w:ilvl w:val="0"/>
          <w:numId w:val="1"/>
        </w:numPr>
        <w:autoSpaceDE w:val="0"/>
        <w:autoSpaceDN w:val="0"/>
        <w:adjustRightInd w:val="0"/>
        <w:spacing w:after="240" w:line="240" w:lineRule="auto"/>
        <w:rPr>
          <w:rFonts w:ascii="Arial" w:hAnsi="Arial" w:cs="Arial"/>
          <w:color w:val="000000"/>
          <w:sz w:val="20"/>
          <w:szCs w:val="20"/>
        </w:rPr>
      </w:pPr>
      <w:r>
        <w:rPr>
          <w:rFonts w:ascii="Arial" w:hAnsi="Arial" w:cs="Arial"/>
          <w:color w:val="000000"/>
          <w:sz w:val="20"/>
          <w:szCs w:val="20"/>
        </w:rPr>
        <w:t xml:space="preserve">Presentation </w:t>
      </w:r>
      <w:r w:rsidR="00E0372A" w:rsidRPr="00E0372A">
        <w:rPr>
          <w:rFonts w:ascii="Arial" w:hAnsi="Arial" w:cs="Arial"/>
          <w:color w:val="000000"/>
          <w:sz w:val="20"/>
          <w:szCs w:val="20"/>
        </w:rPr>
        <w:t xml:space="preserve">and Dissemination of Official Statistics </w:t>
      </w:r>
    </w:p>
    <w:p w:rsidR="00E0372A" w:rsidRPr="00E0372A" w:rsidRDefault="00E0372A" w:rsidP="00E0372A">
      <w:pPr>
        <w:pStyle w:val="ListParagraph"/>
        <w:numPr>
          <w:ilvl w:val="0"/>
          <w:numId w:val="1"/>
        </w:numPr>
        <w:autoSpaceDE w:val="0"/>
        <w:autoSpaceDN w:val="0"/>
        <w:adjustRightInd w:val="0"/>
        <w:spacing w:after="240" w:line="240" w:lineRule="auto"/>
        <w:rPr>
          <w:rFonts w:ascii="Arial" w:hAnsi="Arial" w:cs="Arial"/>
          <w:color w:val="000000"/>
          <w:sz w:val="20"/>
          <w:szCs w:val="20"/>
        </w:rPr>
      </w:pPr>
      <w:r w:rsidRPr="00E0372A">
        <w:rPr>
          <w:rFonts w:ascii="Arial" w:hAnsi="Arial" w:cs="Arial"/>
          <w:color w:val="000000"/>
          <w:sz w:val="20"/>
          <w:szCs w:val="20"/>
        </w:rPr>
        <w:t xml:space="preserve">User Engagement </w:t>
      </w:r>
    </w:p>
    <w:p w:rsidR="00E0372A" w:rsidRPr="00E0372A" w:rsidRDefault="00E0372A" w:rsidP="00E0372A">
      <w:pPr>
        <w:pStyle w:val="ListParagraph"/>
        <w:numPr>
          <w:ilvl w:val="0"/>
          <w:numId w:val="1"/>
        </w:numPr>
        <w:autoSpaceDE w:val="0"/>
        <w:autoSpaceDN w:val="0"/>
        <w:adjustRightInd w:val="0"/>
        <w:spacing w:after="240" w:line="240" w:lineRule="auto"/>
        <w:rPr>
          <w:rFonts w:ascii="Arial" w:hAnsi="Arial" w:cs="Arial"/>
          <w:color w:val="000000"/>
          <w:sz w:val="20"/>
          <w:szCs w:val="20"/>
        </w:rPr>
      </w:pPr>
      <w:r w:rsidRPr="00E0372A">
        <w:rPr>
          <w:rFonts w:ascii="Arial" w:hAnsi="Arial" w:cs="Arial"/>
          <w:color w:val="000000"/>
          <w:sz w:val="20"/>
          <w:szCs w:val="20"/>
        </w:rPr>
        <w:t>Smarter analysis and use of evidence Casework</w:t>
      </w:r>
    </w:p>
    <w:p w:rsidR="00E0372A" w:rsidRPr="00E0372A" w:rsidRDefault="00E0372A" w:rsidP="00E0372A">
      <w:pPr>
        <w:pStyle w:val="ListParagraph"/>
        <w:numPr>
          <w:ilvl w:val="0"/>
          <w:numId w:val="1"/>
        </w:numPr>
        <w:autoSpaceDE w:val="0"/>
        <w:autoSpaceDN w:val="0"/>
        <w:adjustRightInd w:val="0"/>
        <w:spacing w:after="240" w:line="240" w:lineRule="auto"/>
        <w:rPr>
          <w:rFonts w:ascii="Arial" w:hAnsi="Arial" w:cs="Arial"/>
          <w:color w:val="000000"/>
          <w:sz w:val="20"/>
          <w:szCs w:val="20"/>
        </w:rPr>
      </w:pPr>
      <w:r w:rsidRPr="00E0372A">
        <w:rPr>
          <w:rFonts w:ascii="Arial" w:hAnsi="Arial" w:cs="Arial"/>
          <w:color w:val="000000"/>
          <w:sz w:val="20"/>
          <w:szCs w:val="20"/>
        </w:rPr>
        <w:t>Monitoring Reviews and support for Assessment</w:t>
      </w:r>
    </w:p>
    <w:p w:rsidR="00E0372A" w:rsidRPr="00E0372A" w:rsidRDefault="00E0372A" w:rsidP="00E0372A">
      <w:pPr>
        <w:autoSpaceDE w:val="0"/>
        <w:autoSpaceDN w:val="0"/>
        <w:adjustRightInd w:val="0"/>
        <w:spacing w:after="240" w:line="240" w:lineRule="auto"/>
        <w:rPr>
          <w:rFonts w:ascii="Arial" w:hAnsi="Arial" w:cs="Arial"/>
          <w:b/>
          <w:bCs/>
          <w:color w:val="365F91" w:themeColor="accent1" w:themeShade="BF"/>
          <w:sz w:val="20"/>
          <w:szCs w:val="20"/>
        </w:rPr>
      </w:pPr>
      <w:r w:rsidRPr="00E0372A">
        <w:rPr>
          <w:rFonts w:ascii="Arial" w:hAnsi="Arial" w:cs="Arial"/>
          <w:b/>
          <w:bCs/>
          <w:color w:val="365F91" w:themeColor="accent1" w:themeShade="BF"/>
          <w:sz w:val="20"/>
          <w:szCs w:val="20"/>
        </w:rPr>
        <w:t xml:space="preserve">Who does the secondment benefit? </w:t>
      </w:r>
    </w:p>
    <w:p w:rsidR="00852834" w:rsidRDefault="00852834" w:rsidP="00E0372A">
      <w:pPr>
        <w:autoSpaceDE w:val="0"/>
        <w:autoSpaceDN w:val="0"/>
        <w:adjustRightInd w:val="0"/>
        <w:spacing w:after="240" w:line="240" w:lineRule="auto"/>
      </w:pPr>
      <w:r>
        <w:rPr>
          <w:rFonts w:ascii="Arial" w:hAnsi="Arial" w:cs="Arial"/>
          <w:noProof/>
          <w:color w:val="000000"/>
          <w:sz w:val="20"/>
          <w:szCs w:val="20"/>
          <w:lang w:eastAsia="en-GB"/>
        </w:rPr>
        <w:drawing>
          <wp:anchor distT="0" distB="0" distL="114300" distR="114300" simplePos="0" relativeHeight="251659264" behindDoc="0" locked="0" layoutInCell="1" allowOverlap="1">
            <wp:simplePos x="0" y="0"/>
            <wp:positionH relativeFrom="column">
              <wp:posOffset>4656886</wp:posOffset>
            </wp:positionH>
            <wp:positionV relativeFrom="paragraph">
              <wp:posOffset>1142009</wp:posOffset>
            </wp:positionV>
            <wp:extent cx="1868272" cy="380391"/>
            <wp:effectExtent l="19050" t="0" r="0" b="0"/>
            <wp:wrapNone/>
            <wp:docPr id="4" name="Picture 2" descr="\\ndata13\woodhn$\My Documents\My Pictures\GS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ta13\woodhn$\My Documents\My Pictures\GSS_CMYK.png"/>
                    <pic:cNvPicPr>
                      <a:picLocks noChangeAspect="1" noChangeArrowheads="1"/>
                    </pic:cNvPicPr>
                  </pic:nvPicPr>
                  <pic:blipFill>
                    <a:blip r:embed="rId10" cstate="print"/>
                    <a:srcRect/>
                    <a:stretch>
                      <a:fillRect/>
                    </a:stretch>
                  </pic:blipFill>
                  <pic:spPr bwMode="auto">
                    <a:xfrm>
                      <a:off x="0" y="0"/>
                      <a:ext cx="1868272" cy="380391"/>
                    </a:xfrm>
                    <a:prstGeom prst="rect">
                      <a:avLst/>
                    </a:prstGeom>
                    <a:noFill/>
                    <a:ln w="9525">
                      <a:noFill/>
                      <a:miter lim="800000"/>
                      <a:headEnd/>
                      <a:tailEnd/>
                    </a:ln>
                  </pic:spPr>
                </pic:pic>
              </a:graphicData>
            </a:graphic>
          </wp:anchor>
        </w:drawing>
      </w:r>
      <w:r w:rsidR="00E0372A">
        <w:rPr>
          <w:rFonts w:ascii="Arial" w:hAnsi="Arial" w:cs="Arial"/>
          <w:color w:val="000000"/>
          <w:sz w:val="20"/>
          <w:szCs w:val="20"/>
        </w:rPr>
        <w:t>A good secondment benefits everyone. The GPT values the skills</w:t>
      </w:r>
      <w:r w:rsidR="00E0372A">
        <w:rPr>
          <w:rFonts w:ascii="Helv" w:hAnsi="Helv" w:cs="Helv"/>
          <w:b/>
          <w:bCs/>
          <w:color w:val="008000"/>
          <w:sz w:val="20"/>
          <w:szCs w:val="20"/>
        </w:rPr>
        <w:t>,</w:t>
      </w:r>
      <w:r w:rsidR="00E0372A">
        <w:rPr>
          <w:rFonts w:ascii="Arial" w:hAnsi="Arial" w:cs="Arial"/>
          <w:color w:val="000000"/>
          <w:sz w:val="20"/>
          <w:szCs w:val="20"/>
        </w:rPr>
        <w:t xml:space="preserve"> </w:t>
      </w:r>
      <w:r w:rsidR="00E0372A" w:rsidRPr="00F1411F">
        <w:rPr>
          <w:rFonts w:ascii="Arial" w:hAnsi="Arial" w:cs="Arial"/>
          <w:sz w:val="20"/>
          <w:szCs w:val="20"/>
        </w:rPr>
        <w:t xml:space="preserve">experience </w:t>
      </w:r>
      <w:r w:rsidR="00E0372A" w:rsidRPr="00F1411F">
        <w:rPr>
          <w:rFonts w:ascii="Helv" w:hAnsi="Helv" w:cs="Helv"/>
          <w:bCs/>
          <w:sz w:val="20"/>
          <w:szCs w:val="20"/>
        </w:rPr>
        <w:t xml:space="preserve">and fresh perspective </w:t>
      </w:r>
      <w:r w:rsidR="00E0372A" w:rsidRPr="00F1411F">
        <w:rPr>
          <w:rFonts w:ascii="Arial" w:hAnsi="Arial" w:cs="Arial"/>
          <w:sz w:val="20"/>
          <w:szCs w:val="20"/>
        </w:rPr>
        <w:t>brought by the secondee. The secondee gains new skills and experience which they may not have been able to get in their own organisation – which in turn benefits their organisation when the secondee returns. The links built across the GSS can also be highly valuable.</w:t>
      </w:r>
    </w:p>
    <w:sectPr w:rsidR="00852834" w:rsidSect="00722D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5B1"/>
    <w:multiLevelType w:val="hybridMultilevel"/>
    <w:tmpl w:val="D232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0372A"/>
    <w:rsid w:val="00722D97"/>
    <w:rsid w:val="00852834"/>
    <w:rsid w:val="00B524B8"/>
    <w:rsid w:val="00C42708"/>
    <w:rsid w:val="00E037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72A"/>
    <w:rPr>
      <w:color w:val="0000FF" w:themeColor="hyperlink"/>
      <w:u w:val="single"/>
    </w:rPr>
  </w:style>
  <w:style w:type="paragraph" w:styleId="ListParagraph">
    <w:name w:val="List Paragraph"/>
    <w:basedOn w:val="Normal"/>
    <w:uiPriority w:val="34"/>
    <w:qFormat/>
    <w:rsid w:val="00E0372A"/>
    <w:pPr>
      <w:ind w:left="720"/>
      <w:contextualSpacing/>
    </w:pPr>
  </w:style>
  <w:style w:type="paragraph" w:styleId="BalloonText">
    <w:name w:val="Balloon Text"/>
    <w:basedOn w:val="Normal"/>
    <w:link w:val="BalloonTextChar"/>
    <w:uiPriority w:val="99"/>
    <w:semiHidden/>
    <w:unhideWhenUsed/>
    <w:rsid w:val="0085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ss.civilservice.gov.uk/about/gss-strategy-better-statistics-better-decisions/" TargetMode="External"/><Relationship Id="rId3" Type="http://schemas.openxmlformats.org/officeDocument/2006/relationships/settings" Target="settings.xml"/><Relationship Id="rId7" Type="http://schemas.openxmlformats.org/officeDocument/2006/relationships/hyperlink" Target="mailto:goodpracticeteam@statistics.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s.civilservice.gov.uk/blog/2015/12/two-weeks-in-the-good-practice-tea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atisticsauthority.gov.uk/assessment/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woodhn</dc:creator>
  <cp:lastModifiedBy>woodhn</cp:lastModifiedBy>
  <cp:revision>3</cp:revision>
  <dcterms:created xsi:type="dcterms:W3CDTF">2015-12-18T14:00:00Z</dcterms:created>
  <dcterms:modified xsi:type="dcterms:W3CDTF">2015-12-18T15:05:00Z</dcterms:modified>
</cp:coreProperties>
</file>