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25" w:rsidRDefault="00B95925" w:rsidP="009B3456">
      <w:pPr>
        <w:spacing w:after="0" w:line="240" w:lineRule="auto"/>
        <w:jc w:val="center"/>
        <w:rPr>
          <w:rFonts w:ascii="Times New Roman" w:hAnsi="Times New Roman" w:cs="Times New Roman"/>
          <w:b/>
          <w:sz w:val="28"/>
          <w:szCs w:val="28"/>
        </w:rPr>
      </w:pPr>
    </w:p>
    <w:p w:rsidR="00965398" w:rsidRPr="005F65FE" w:rsidRDefault="00965398" w:rsidP="009653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Towards an integrated census-administrative data approach to item-level imputation for the 2021 UK Census</w:t>
      </w:r>
    </w:p>
    <w:p w:rsidR="00E17DF0" w:rsidRDefault="00E17DF0" w:rsidP="009B3456">
      <w:pPr>
        <w:spacing w:after="0" w:line="240" w:lineRule="auto"/>
        <w:rPr>
          <w:rFonts w:ascii="Times New Roman" w:hAnsi="Times New Roman" w:cs="Times New Roman"/>
          <w:b/>
          <w:sz w:val="20"/>
          <w:szCs w:val="20"/>
        </w:rPr>
      </w:pPr>
    </w:p>
    <w:p w:rsidR="001B0342" w:rsidRPr="00D2187D" w:rsidRDefault="001B0342" w:rsidP="009B3456">
      <w:pPr>
        <w:spacing w:after="0" w:line="240" w:lineRule="auto"/>
        <w:rPr>
          <w:rFonts w:ascii="Times New Roman" w:hAnsi="Times New Roman" w:cs="Times New Roman"/>
          <w:b/>
          <w:sz w:val="20"/>
          <w:szCs w:val="20"/>
        </w:rPr>
      </w:pPr>
    </w:p>
    <w:p w:rsidR="00E17DF0" w:rsidRPr="00D2187D" w:rsidRDefault="00972D8E" w:rsidP="009B34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Fern Leather</w:t>
      </w:r>
      <w:r w:rsidR="00BD5D69">
        <w:rPr>
          <w:rFonts w:ascii="Times New Roman" w:hAnsi="Times New Roman" w:cs="Times New Roman"/>
          <w:sz w:val="20"/>
          <w:szCs w:val="20"/>
        </w:rPr>
        <w:t xml:space="preserve">, </w:t>
      </w:r>
      <w:r>
        <w:rPr>
          <w:rFonts w:ascii="Times New Roman" w:hAnsi="Times New Roman" w:cs="Times New Roman"/>
          <w:sz w:val="20"/>
          <w:szCs w:val="20"/>
        </w:rPr>
        <w:t>Katie Sharp</w:t>
      </w:r>
      <w:r w:rsidR="00DC6C85">
        <w:rPr>
          <w:rFonts w:ascii="Times New Roman" w:hAnsi="Times New Roman" w:cs="Times New Roman"/>
          <w:sz w:val="20"/>
          <w:szCs w:val="20"/>
        </w:rPr>
        <w:t>, Steven Rogers</w:t>
      </w:r>
      <w:r w:rsidR="005607B1" w:rsidRPr="005607B1">
        <w:rPr>
          <w:rFonts w:ascii="Times New Roman" w:hAnsi="Times New Roman" w:cs="Times New Roman"/>
          <w:sz w:val="20"/>
          <w:szCs w:val="20"/>
          <w:vertAlign w:val="superscript"/>
        </w:rPr>
        <w:t>1</w:t>
      </w:r>
    </w:p>
    <w:p w:rsidR="00E17DF0" w:rsidRPr="00D2187D" w:rsidRDefault="00E17DF0" w:rsidP="009B3456">
      <w:pPr>
        <w:spacing w:after="0" w:line="240" w:lineRule="auto"/>
        <w:rPr>
          <w:rFonts w:ascii="Times New Roman" w:hAnsi="Times New Roman" w:cs="Times New Roman"/>
          <w:sz w:val="20"/>
          <w:szCs w:val="20"/>
        </w:rPr>
      </w:pPr>
    </w:p>
    <w:p w:rsidR="001B0342" w:rsidRDefault="001B0342" w:rsidP="009B3456">
      <w:pPr>
        <w:spacing w:after="0" w:line="240" w:lineRule="auto"/>
        <w:rPr>
          <w:rFonts w:ascii="Times New Roman" w:hAnsi="Times New Roman" w:cs="Times New Roman"/>
          <w:sz w:val="20"/>
          <w:szCs w:val="20"/>
        </w:rPr>
      </w:pPr>
    </w:p>
    <w:p w:rsidR="00A94D34" w:rsidRDefault="00A94D34" w:rsidP="009B34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A94D34" w:rsidRDefault="00A94D34" w:rsidP="009B3456">
      <w:pPr>
        <w:spacing w:after="0" w:line="240" w:lineRule="auto"/>
        <w:jc w:val="center"/>
        <w:rPr>
          <w:rFonts w:ascii="Times New Roman" w:hAnsi="Times New Roman" w:cs="Times New Roman"/>
          <w:sz w:val="20"/>
          <w:szCs w:val="20"/>
        </w:rPr>
      </w:pPr>
    </w:p>
    <w:p w:rsidR="00965398" w:rsidRPr="00606BB7" w:rsidRDefault="00965398" w:rsidP="00965398">
      <w:pPr>
        <w:spacing w:after="0" w:line="240" w:lineRule="auto"/>
        <w:ind w:left="720" w:right="720"/>
        <w:jc w:val="both"/>
        <w:rPr>
          <w:rFonts w:ascii="Times New Roman" w:hAnsi="Times New Roman" w:cs="Times New Roman"/>
          <w:sz w:val="20"/>
          <w:szCs w:val="20"/>
        </w:rPr>
      </w:pPr>
      <w:r w:rsidRPr="00606BB7">
        <w:rPr>
          <w:rFonts w:ascii="Times New Roman" w:hAnsi="Times New Roman" w:cs="Times New Roman"/>
          <w:sz w:val="20"/>
          <w:szCs w:val="20"/>
        </w:rPr>
        <w:t xml:space="preserve">In preparation for </w:t>
      </w:r>
      <w:r w:rsidRPr="00606BB7">
        <w:rPr>
          <w:rFonts w:ascii="Times New Roman" w:hAnsi="Times New Roman" w:cs="Times New Roman"/>
          <w:color w:val="000000"/>
          <w:sz w:val="20"/>
          <w:szCs w:val="20"/>
        </w:rPr>
        <w:t>2021 UK Census the ONS has committed to an extensive research programme exploring how linked administrati</w:t>
      </w:r>
      <w:r>
        <w:rPr>
          <w:rFonts w:ascii="Times New Roman" w:hAnsi="Times New Roman" w:cs="Times New Roman"/>
          <w:color w:val="000000"/>
          <w:sz w:val="20"/>
          <w:szCs w:val="20"/>
        </w:rPr>
        <w:t>ve</w:t>
      </w:r>
      <w:r w:rsidRPr="00606BB7">
        <w:rPr>
          <w:rFonts w:ascii="Times New Roman" w:hAnsi="Times New Roman" w:cs="Times New Roman"/>
          <w:color w:val="000000"/>
          <w:sz w:val="20"/>
          <w:szCs w:val="20"/>
        </w:rPr>
        <w:t xml:space="preserve"> data can be used to support conventional statistical processes.</w:t>
      </w:r>
      <w:r>
        <w:rPr>
          <w:rFonts w:ascii="Times New Roman" w:hAnsi="Times New Roman" w:cs="Times New Roman"/>
          <w:color w:val="000000"/>
          <w:sz w:val="20"/>
          <w:szCs w:val="20"/>
        </w:rPr>
        <w:t xml:space="preserve">  </w:t>
      </w:r>
      <w:r w:rsidRPr="00606BB7">
        <w:rPr>
          <w:rFonts w:ascii="Times New Roman" w:hAnsi="Times New Roman" w:cs="Times New Roman"/>
          <w:color w:val="000000"/>
          <w:sz w:val="20"/>
          <w:szCs w:val="20"/>
        </w:rPr>
        <w:t>Item-level edit and imputation (E&amp;I) will play an important role in adjusting the 2021 Census database.</w:t>
      </w:r>
      <w:r w:rsidR="00732A37">
        <w:rPr>
          <w:rFonts w:ascii="Times New Roman" w:hAnsi="Times New Roman" w:cs="Times New Roman"/>
          <w:sz w:val="20"/>
          <w:szCs w:val="20"/>
        </w:rPr>
        <w:t xml:space="preserve"> </w:t>
      </w:r>
      <w:r w:rsidRPr="00606BB7">
        <w:rPr>
          <w:rFonts w:ascii="Times New Roman" w:hAnsi="Times New Roman" w:cs="Times New Roman"/>
          <w:sz w:val="20"/>
          <w:szCs w:val="20"/>
        </w:rPr>
        <w:t>However, uncertainty associated with the accuracy and quality of available administrati</w:t>
      </w:r>
      <w:r>
        <w:rPr>
          <w:rFonts w:ascii="Times New Roman" w:hAnsi="Times New Roman" w:cs="Times New Roman"/>
          <w:sz w:val="20"/>
          <w:szCs w:val="20"/>
        </w:rPr>
        <w:t>ve</w:t>
      </w:r>
      <w:r w:rsidRPr="00606BB7">
        <w:rPr>
          <w:rFonts w:ascii="Times New Roman" w:hAnsi="Times New Roman" w:cs="Times New Roman"/>
          <w:sz w:val="20"/>
          <w:szCs w:val="20"/>
        </w:rPr>
        <w:t xml:space="preserve"> data renders the efficacy of an integrated census-administrati</w:t>
      </w:r>
      <w:r>
        <w:rPr>
          <w:rFonts w:ascii="Times New Roman" w:hAnsi="Times New Roman" w:cs="Times New Roman"/>
          <w:sz w:val="20"/>
          <w:szCs w:val="20"/>
        </w:rPr>
        <w:t>ve</w:t>
      </w:r>
      <w:r w:rsidR="00732A37">
        <w:rPr>
          <w:rFonts w:ascii="Times New Roman" w:hAnsi="Times New Roman" w:cs="Times New Roman"/>
          <w:sz w:val="20"/>
          <w:szCs w:val="20"/>
        </w:rPr>
        <w:t xml:space="preserve"> data approach to E&amp;I unclear. </w:t>
      </w:r>
      <w:r w:rsidRPr="00606BB7">
        <w:rPr>
          <w:rFonts w:ascii="Times New Roman" w:hAnsi="Times New Roman" w:cs="Times New Roman"/>
          <w:sz w:val="20"/>
          <w:szCs w:val="20"/>
        </w:rPr>
        <w:t xml:space="preserve">Current constraints that dictate an anonymised ‘hash-key’ approach to record linkage to ensure confidentiality add to that </w:t>
      </w:r>
      <w:r w:rsidR="00732A37">
        <w:rPr>
          <w:rFonts w:ascii="Times New Roman" w:hAnsi="Times New Roman" w:cs="Times New Roman"/>
          <w:sz w:val="20"/>
          <w:szCs w:val="20"/>
        </w:rPr>
        <w:t xml:space="preserve">uncertainty. </w:t>
      </w:r>
      <w:r w:rsidRPr="00606BB7">
        <w:rPr>
          <w:rFonts w:ascii="Times New Roman" w:hAnsi="Times New Roman" w:cs="Times New Roman"/>
          <w:sz w:val="20"/>
          <w:szCs w:val="20"/>
        </w:rPr>
        <w:t>Here, we provide preliminary results from a simulation study comparing the predictive and distributional accuracy of the conventional E&amp;I strategy implemented in C</w:t>
      </w:r>
      <w:r w:rsidR="002669B1">
        <w:rPr>
          <w:rFonts w:ascii="Times New Roman" w:hAnsi="Times New Roman" w:cs="Times New Roman"/>
          <w:sz w:val="20"/>
          <w:szCs w:val="20"/>
        </w:rPr>
        <w:t>ANCEIS</w:t>
      </w:r>
      <w:r w:rsidRPr="00606BB7">
        <w:rPr>
          <w:rFonts w:ascii="Times New Roman" w:hAnsi="Times New Roman" w:cs="Times New Roman"/>
          <w:sz w:val="20"/>
          <w:szCs w:val="20"/>
        </w:rPr>
        <w:t xml:space="preserve"> for the 2011 UK Census to that of an integrated approach using synthetic administrati</w:t>
      </w:r>
      <w:r>
        <w:rPr>
          <w:rFonts w:ascii="Times New Roman" w:hAnsi="Times New Roman" w:cs="Times New Roman"/>
          <w:sz w:val="20"/>
          <w:szCs w:val="20"/>
        </w:rPr>
        <w:t>ve</w:t>
      </w:r>
      <w:r w:rsidRPr="00606BB7">
        <w:rPr>
          <w:rFonts w:ascii="Times New Roman" w:hAnsi="Times New Roman" w:cs="Times New Roman"/>
          <w:sz w:val="20"/>
          <w:szCs w:val="20"/>
        </w:rPr>
        <w:t xml:space="preserve"> data with systematically increasing error as auxiliary information</w:t>
      </w:r>
      <w:r>
        <w:rPr>
          <w:rFonts w:ascii="Times New Roman" w:hAnsi="Times New Roman" w:cs="Times New Roman"/>
          <w:sz w:val="20"/>
          <w:szCs w:val="20"/>
        </w:rPr>
        <w:t xml:space="preserve">.  </w:t>
      </w:r>
      <w:r w:rsidRPr="00606BB7">
        <w:rPr>
          <w:rFonts w:ascii="Times New Roman" w:hAnsi="Times New Roman" w:cs="Times New Roman"/>
          <w:sz w:val="20"/>
          <w:szCs w:val="20"/>
        </w:rPr>
        <w:t>In this initial phase of research we focus on imputing single year of age. The aim of the study is to gain insight into the point at which the degree of error in the administrati</w:t>
      </w:r>
      <w:r>
        <w:rPr>
          <w:rFonts w:ascii="Times New Roman" w:hAnsi="Times New Roman" w:cs="Times New Roman"/>
          <w:sz w:val="20"/>
          <w:szCs w:val="20"/>
        </w:rPr>
        <w:t>ve</w:t>
      </w:r>
      <w:r w:rsidRPr="00606BB7">
        <w:rPr>
          <w:rFonts w:ascii="Times New Roman" w:hAnsi="Times New Roman" w:cs="Times New Roman"/>
          <w:sz w:val="20"/>
          <w:szCs w:val="20"/>
        </w:rPr>
        <w:t xml:space="preserve"> data leads to poorer performance than a conventional E&amp;I strategy such as that used for 2011 UK Census. </w:t>
      </w:r>
    </w:p>
    <w:p w:rsidR="00965398" w:rsidRPr="00606BB7" w:rsidRDefault="00965398" w:rsidP="00965398">
      <w:pPr>
        <w:spacing w:after="0" w:line="240" w:lineRule="auto"/>
        <w:ind w:left="720" w:right="720"/>
        <w:rPr>
          <w:rFonts w:ascii="Times New Roman" w:hAnsi="Times New Roman" w:cs="Times New Roman"/>
          <w:sz w:val="20"/>
          <w:szCs w:val="20"/>
        </w:rPr>
      </w:pPr>
    </w:p>
    <w:p w:rsidR="00965398" w:rsidRDefault="00965398" w:rsidP="00965398">
      <w:pPr>
        <w:spacing w:after="0" w:line="240" w:lineRule="auto"/>
        <w:ind w:left="720" w:right="720"/>
        <w:rPr>
          <w:rFonts w:ascii="Times New Roman" w:hAnsi="Times New Roman" w:cs="Times New Roman"/>
          <w:sz w:val="20"/>
          <w:szCs w:val="20"/>
        </w:rPr>
      </w:pPr>
      <w:r w:rsidRPr="00606BB7">
        <w:rPr>
          <w:rFonts w:ascii="Times New Roman" w:hAnsi="Times New Roman" w:cs="Times New Roman"/>
          <w:sz w:val="20"/>
          <w:szCs w:val="20"/>
        </w:rPr>
        <w:t>Key words: census, imputation, administrati</w:t>
      </w:r>
      <w:r>
        <w:rPr>
          <w:rFonts w:ascii="Times New Roman" w:hAnsi="Times New Roman" w:cs="Times New Roman"/>
          <w:sz w:val="20"/>
          <w:szCs w:val="20"/>
        </w:rPr>
        <w:t>ve</w:t>
      </w:r>
      <w:r w:rsidRPr="00606BB7">
        <w:rPr>
          <w:rFonts w:ascii="Times New Roman" w:hAnsi="Times New Roman" w:cs="Times New Roman"/>
          <w:sz w:val="20"/>
          <w:szCs w:val="20"/>
        </w:rPr>
        <w:t xml:space="preserve"> data, canceis</w:t>
      </w:r>
    </w:p>
    <w:p w:rsidR="00965398" w:rsidRPr="00965398" w:rsidRDefault="00965398" w:rsidP="00965398">
      <w:pPr>
        <w:spacing w:after="0" w:line="240" w:lineRule="auto"/>
        <w:ind w:right="720"/>
        <w:rPr>
          <w:rFonts w:ascii="Times New Roman" w:hAnsi="Times New Roman" w:cs="Times New Roman"/>
          <w:sz w:val="20"/>
          <w:szCs w:val="20"/>
        </w:rPr>
      </w:pPr>
    </w:p>
    <w:p w:rsidR="00E17DF0" w:rsidRPr="00D2187D" w:rsidRDefault="00E17DF0" w:rsidP="009B3456">
      <w:pPr>
        <w:spacing w:after="0" w:line="240" w:lineRule="auto"/>
        <w:rPr>
          <w:rFonts w:ascii="Times New Roman" w:hAnsi="Times New Roman" w:cs="Times New Roman"/>
          <w:sz w:val="20"/>
          <w:szCs w:val="20"/>
        </w:rPr>
      </w:pPr>
    </w:p>
    <w:p w:rsidR="009B3456" w:rsidRDefault="009B3456" w:rsidP="009B3456">
      <w:pPr>
        <w:pStyle w:val="ListParagraph"/>
        <w:numPr>
          <w:ilvl w:val="0"/>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421567" w:rsidRPr="00421567" w:rsidRDefault="00421567" w:rsidP="00A510D3">
      <w:pPr>
        <w:spacing w:after="0" w:line="240" w:lineRule="auto"/>
        <w:rPr>
          <w:rFonts w:ascii="Times New Roman" w:hAnsi="Times New Roman" w:cs="Times New Roman"/>
          <w:color w:val="FF0000"/>
          <w:sz w:val="20"/>
          <w:szCs w:val="20"/>
        </w:rPr>
      </w:pPr>
    </w:p>
    <w:p w:rsidR="001B777F" w:rsidRDefault="00F80EA7" w:rsidP="00A510D3">
      <w:pPr>
        <w:spacing w:after="0" w:line="240" w:lineRule="auto"/>
        <w:rPr>
          <w:rFonts w:ascii="Times New Roman" w:hAnsi="Times New Roman" w:cs="Times New Roman"/>
          <w:sz w:val="20"/>
          <w:szCs w:val="20"/>
        </w:rPr>
      </w:pPr>
      <w:r w:rsidRPr="00F80EA7">
        <w:rPr>
          <w:rFonts w:ascii="Times New Roman" w:hAnsi="Times New Roman" w:cs="Times New Roman"/>
          <w:sz w:val="20"/>
          <w:szCs w:val="20"/>
        </w:rPr>
        <w:t xml:space="preserve">Adjusting </w:t>
      </w:r>
      <w:r w:rsidR="0010676E">
        <w:rPr>
          <w:rFonts w:ascii="Times New Roman" w:hAnsi="Times New Roman" w:cs="Times New Roman"/>
          <w:sz w:val="20"/>
          <w:szCs w:val="20"/>
        </w:rPr>
        <w:t>c</w:t>
      </w:r>
      <w:r w:rsidRPr="00F80EA7">
        <w:rPr>
          <w:rFonts w:ascii="Times New Roman" w:hAnsi="Times New Roman" w:cs="Times New Roman"/>
          <w:sz w:val="20"/>
          <w:szCs w:val="20"/>
        </w:rPr>
        <w:t>ensus data for item-level</w:t>
      </w:r>
      <w:r>
        <w:rPr>
          <w:rFonts w:ascii="Times New Roman" w:hAnsi="Times New Roman" w:cs="Times New Roman"/>
          <w:sz w:val="20"/>
          <w:szCs w:val="20"/>
        </w:rPr>
        <w:t xml:space="preserve"> inconsis</w:t>
      </w:r>
      <w:r w:rsidR="00911A6A">
        <w:rPr>
          <w:rFonts w:ascii="Times New Roman" w:hAnsi="Times New Roman" w:cs="Times New Roman"/>
          <w:sz w:val="20"/>
          <w:szCs w:val="20"/>
        </w:rPr>
        <w:t>tencies and</w:t>
      </w:r>
      <w:r w:rsidR="00A22775">
        <w:rPr>
          <w:rFonts w:ascii="Times New Roman" w:hAnsi="Times New Roman" w:cs="Times New Roman"/>
          <w:sz w:val="20"/>
          <w:szCs w:val="20"/>
        </w:rPr>
        <w:t xml:space="preserve"> non-response (</w:t>
      </w:r>
      <w:r w:rsidR="00E2160E">
        <w:rPr>
          <w:rFonts w:ascii="Times New Roman" w:hAnsi="Times New Roman" w:cs="Times New Roman"/>
          <w:sz w:val="20"/>
          <w:szCs w:val="20"/>
        </w:rPr>
        <w:t>from here</w:t>
      </w:r>
      <w:r w:rsidR="00784AC1">
        <w:rPr>
          <w:rFonts w:ascii="Times New Roman" w:hAnsi="Times New Roman" w:cs="Times New Roman"/>
          <w:sz w:val="20"/>
          <w:szCs w:val="20"/>
        </w:rPr>
        <w:t xml:space="preserve"> on</w:t>
      </w:r>
      <w:r w:rsidR="00E2160E">
        <w:rPr>
          <w:rFonts w:ascii="Times New Roman" w:hAnsi="Times New Roman" w:cs="Times New Roman"/>
          <w:sz w:val="20"/>
          <w:szCs w:val="20"/>
        </w:rPr>
        <w:t xml:space="preserve"> referred to</w:t>
      </w:r>
      <w:r>
        <w:rPr>
          <w:rFonts w:ascii="Times New Roman" w:hAnsi="Times New Roman" w:cs="Times New Roman"/>
          <w:sz w:val="20"/>
          <w:szCs w:val="20"/>
        </w:rPr>
        <w:t xml:space="preserve"> as imputation</w:t>
      </w:r>
      <w:r w:rsidR="00A22775">
        <w:rPr>
          <w:rFonts w:ascii="Times New Roman" w:hAnsi="Times New Roman" w:cs="Times New Roman"/>
          <w:sz w:val="20"/>
          <w:szCs w:val="20"/>
        </w:rPr>
        <w:t>)</w:t>
      </w:r>
      <w:r>
        <w:rPr>
          <w:rFonts w:ascii="Times New Roman" w:hAnsi="Times New Roman" w:cs="Times New Roman"/>
          <w:sz w:val="20"/>
          <w:szCs w:val="20"/>
        </w:rPr>
        <w:t xml:space="preserve"> is an important</w:t>
      </w:r>
      <w:r w:rsidR="00A22775">
        <w:rPr>
          <w:rFonts w:ascii="Times New Roman" w:hAnsi="Times New Roman" w:cs="Times New Roman"/>
          <w:sz w:val="20"/>
          <w:szCs w:val="20"/>
        </w:rPr>
        <w:t xml:space="preserve"> p</w:t>
      </w:r>
      <w:r w:rsidR="00C32BF3">
        <w:rPr>
          <w:rFonts w:ascii="Times New Roman" w:hAnsi="Times New Roman" w:cs="Times New Roman"/>
          <w:sz w:val="20"/>
          <w:szCs w:val="20"/>
        </w:rPr>
        <w:t xml:space="preserve">art of </w:t>
      </w:r>
      <w:r w:rsidR="0010676E">
        <w:rPr>
          <w:rFonts w:ascii="Times New Roman" w:hAnsi="Times New Roman" w:cs="Times New Roman"/>
          <w:sz w:val="20"/>
          <w:szCs w:val="20"/>
        </w:rPr>
        <w:t>c</w:t>
      </w:r>
      <w:r w:rsidR="00C32BF3">
        <w:rPr>
          <w:rFonts w:ascii="Times New Roman" w:hAnsi="Times New Roman" w:cs="Times New Roman"/>
          <w:sz w:val="20"/>
          <w:szCs w:val="20"/>
        </w:rPr>
        <w:t xml:space="preserve">ensus data processing. </w:t>
      </w:r>
      <w:r>
        <w:rPr>
          <w:rFonts w:ascii="Times New Roman" w:hAnsi="Times New Roman" w:cs="Times New Roman"/>
          <w:sz w:val="20"/>
          <w:szCs w:val="20"/>
        </w:rPr>
        <w:t>The 2011 UK Censu</w:t>
      </w:r>
      <w:r w:rsidR="00ED3383">
        <w:rPr>
          <w:rFonts w:ascii="Times New Roman" w:hAnsi="Times New Roman" w:cs="Times New Roman"/>
          <w:sz w:val="20"/>
          <w:szCs w:val="20"/>
        </w:rPr>
        <w:t>s imputation strategy was a</w:t>
      </w:r>
      <w:r>
        <w:rPr>
          <w:rFonts w:ascii="Times New Roman" w:hAnsi="Times New Roman" w:cs="Times New Roman"/>
          <w:sz w:val="20"/>
          <w:szCs w:val="20"/>
        </w:rPr>
        <w:t xml:space="preserve"> donor-based approach implemented in CANCEIS </w:t>
      </w:r>
      <w:r w:rsidR="00A22775">
        <w:rPr>
          <w:rFonts w:ascii="Times New Roman" w:hAnsi="Times New Roman" w:cs="Times New Roman"/>
          <w:sz w:val="20"/>
          <w:szCs w:val="20"/>
        </w:rPr>
        <w:t>(</w:t>
      </w:r>
      <w:r>
        <w:rPr>
          <w:rFonts w:ascii="Times New Roman" w:hAnsi="Times New Roman" w:cs="Times New Roman"/>
          <w:sz w:val="20"/>
          <w:szCs w:val="20"/>
        </w:rPr>
        <w:t>Aldrich and Rogers, 2012; War</w:t>
      </w:r>
      <w:r w:rsidR="00B85FD5">
        <w:rPr>
          <w:rFonts w:ascii="Times New Roman" w:hAnsi="Times New Roman" w:cs="Times New Roman"/>
          <w:sz w:val="20"/>
          <w:szCs w:val="20"/>
        </w:rPr>
        <w:t>dman and Rogers, 2012; Wardman et al.</w:t>
      </w:r>
      <w:r w:rsidR="009D0364">
        <w:rPr>
          <w:rFonts w:ascii="Times New Roman" w:hAnsi="Times New Roman" w:cs="Times New Roman"/>
          <w:sz w:val="20"/>
          <w:szCs w:val="20"/>
        </w:rPr>
        <w:t>, 2014</w:t>
      </w:r>
      <w:r>
        <w:rPr>
          <w:rFonts w:ascii="Times New Roman" w:hAnsi="Times New Roman" w:cs="Times New Roman"/>
          <w:sz w:val="20"/>
          <w:szCs w:val="20"/>
        </w:rPr>
        <w:t>).</w:t>
      </w:r>
      <w:r w:rsidR="00A22775">
        <w:rPr>
          <w:rFonts w:ascii="Times New Roman" w:hAnsi="Times New Roman" w:cs="Times New Roman"/>
          <w:sz w:val="20"/>
          <w:szCs w:val="20"/>
        </w:rPr>
        <w:t xml:space="preserve"> </w:t>
      </w:r>
      <w:r w:rsidR="00520D4E">
        <w:rPr>
          <w:rFonts w:ascii="Times New Roman" w:hAnsi="Times New Roman" w:cs="Times New Roman"/>
          <w:sz w:val="20"/>
          <w:szCs w:val="20"/>
        </w:rPr>
        <w:t xml:space="preserve"> </w:t>
      </w:r>
    </w:p>
    <w:p w:rsidR="001B777F" w:rsidRDefault="001B777F" w:rsidP="00A510D3">
      <w:pPr>
        <w:spacing w:after="0" w:line="240" w:lineRule="auto"/>
        <w:rPr>
          <w:rFonts w:ascii="Times New Roman" w:hAnsi="Times New Roman" w:cs="Times New Roman"/>
          <w:sz w:val="20"/>
          <w:szCs w:val="20"/>
        </w:rPr>
      </w:pPr>
    </w:p>
    <w:p w:rsidR="00CA1FEC" w:rsidRDefault="00B8666B" w:rsidP="00A510D3">
      <w:pPr>
        <w:spacing w:after="0" w:line="240" w:lineRule="auto"/>
        <w:rPr>
          <w:rFonts w:ascii="Times New Roman" w:hAnsi="Times New Roman" w:cs="Times New Roman"/>
          <w:sz w:val="20"/>
          <w:szCs w:val="20"/>
        </w:rPr>
      </w:pPr>
      <w:r>
        <w:rPr>
          <w:rFonts w:ascii="Times New Roman" w:hAnsi="Times New Roman" w:cs="Times New Roman"/>
          <w:sz w:val="20"/>
          <w:szCs w:val="20"/>
        </w:rPr>
        <w:t>In CANCEIS,</w:t>
      </w:r>
      <w:r w:rsidR="00B82B7D">
        <w:rPr>
          <w:rFonts w:ascii="Times New Roman" w:hAnsi="Times New Roman" w:cs="Times New Roman"/>
          <w:sz w:val="20"/>
          <w:szCs w:val="20"/>
        </w:rPr>
        <w:t xml:space="preserve"> </w:t>
      </w:r>
      <w:r w:rsidR="00B639F3">
        <w:rPr>
          <w:rFonts w:ascii="Times New Roman" w:hAnsi="Times New Roman" w:cs="Times New Roman"/>
          <w:sz w:val="20"/>
          <w:szCs w:val="20"/>
        </w:rPr>
        <w:t>the variables within a module</w:t>
      </w:r>
      <w:r w:rsidR="00B50C3A">
        <w:rPr>
          <w:rFonts w:ascii="Times New Roman" w:hAnsi="Times New Roman" w:cs="Times New Roman"/>
          <w:sz w:val="20"/>
          <w:szCs w:val="20"/>
        </w:rPr>
        <w:t>,</w:t>
      </w:r>
      <w:r w:rsidR="00B639F3">
        <w:rPr>
          <w:rFonts w:ascii="Times New Roman" w:hAnsi="Times New Roman" w:cs="Times New Roman"/>
          <w:sz w:val="20"/>
          <w:szCs w:val="20"/>
        </w:rPr>
        <w:t xml:space="preserve"> a</w:t>
      </w:r>
      <w:r w:rsidR="00162DE5">
        <w:rPr>
          <w:rFonts w:ascii="Times New Roman" w:hAnsi="Times New Roman" w:cs="Times New Roman"/>
          <w:sz w:val="20"/>
          <w:szCs w:val="20"/>
        </w:rPr>
        <w:t>long with</w:t>
      </w:r>
      <w:r w:rsidR="00B639F3">
        <w:rPr>
          <w:rFonts w:ascii="Times New Roman" w:hAnsi="Times New Roman" w:cs="Times New Roman"/>
          <w:sz w:val="20"/>
          <w:szCs w:val="20"/>
        </w:rPr>
        <w:t xml:space="preserve"> other auxiliary information</w:t>
      </w:r>
      <w:r w:rsidR="00B50C3A">
        <w:rPr>
          <w:rFonts w:ascii="Times New Roman" w:hAnsi="Times New Roman" w:cs="Times New Roman"/>
          <w:sz w:val="20"/>
          <w:szCs w:val="20"/>
        </w:rPr>
        <w:t>,</w:t>
      </w:r>
      <w:r w:rsidR="00B639F3">
        <w:rPr>
          <w:rFonts w:ascii="Times New Roman" w:hAnsi="Times New Roman" w:cs="Times New Roman"/>
          <w:sz w:val="20"/>
          <w:szCs w:val="20"/>
        </w:rPr>
        <w:t xml:space="preserve"> served as </w:t>
      </w:r>
      <w:r w:rsidR="007A15E1">
        <w:rPr>
          <w:rFonts w:ascii="Times New Roman" w:hAnsi="Times New Roman" w:cs="Times New Roman"/>
          <w:sz w:val="20"/>
          <w:szCs w:val="20"/>
        </w:rPr>
        <w:t xml:space="preserve">matching variables </w:t>
      </w:r>
      <w:r w:rsidR="00B639F3">
        <w:rPr>
          <w:rFonts w:ascii="Times New Roman" w:hAnsi="Times New Roman" w:cs="Times New Roman"/>
          <w:sz w:val="20"/>
          <w:szCs w:val="20"/>
        </w:rPr>
        <w:t>representing</w:t>
      </w:r>
      <w:r w:rsidR="00683B59">
        <w:rPr>
          <w:rFonts w:ascii="Times New Roman" w:hAnsi="Times New Roman" w:cs="Times New Roman"/>
          <w:sz w:val="20"/>
          <w:szCs w:val="20"/>
        </w:rPr>
        <w:t xml:space="preserve"> </w:t>
      </w:r>
      <w:r w:rsidR="000C42AC">
        <w:rPr>
          <w:rFonts w:ascii="Times New Roman" w:hAnsi="Times New Roman" w:cs="Times New Roman"/>
          <w:sz w:val="20"/>
          <w:szCs w:val="20"/>
        </w:rPr>
        <w:t xml:space="preserve">the </w:t>
      </w:r>
      <w:r w:rsidR="00683B59">
        <w:rPr>
          <w:rFonts w:ascii="Times New Roman" w:hAnsi="Times New Roman" w:cs="Times New Roman"/>
          <w:sz w:val="20"/>
          <w:szCs w:val="20"/>
        </w:rPr>
        <w:t>underlying</w:t>
      </w:r>
      <w:r w:rsidR="007A15E1">
        <w:rPr>
          <w:rFonts w:ascii="Times New Roman" w:hAnsi="Times New Roman" w:cs="Times New Roman"/>
          <w:sz w:val="20"/>
          <w:szCs w:val="20"/>
        </w:rPr>
        <w:t xml:space="preserve"> </w:t>
      </w:r>
      <w:r w:rsidR="000C42AC">
        <w:rPr>
          <w:rFonts w:ascii="Times New Roman" w:hAnsi="Times New Roman" w:cs="Times New Roman"/>
          <w:sz w:val="20"/>
          <w:szCs w:val="20"/>
        </w:rPr>
        <w:t>imputation model</w:t>
      </w:r>
      <w:r w:rsidR="00C32BF3">
        <w:rPr>
          <w:rFonts w:ascii="Times New Roman" w:hAnsi="Times New Roman" w:cs="Times New Roman"/>
          <w:sz w:val="20"/>
          <w:szCs w:val="20"/>
        </w:rPr>
        <w:t xml:space="preserve">. </w:t>
      </w:r>
      <w:r w:rsidR="007A15E1">
        <w:rPr>
          <w:rFonts w:ascii="Times New Roman" w:hAnsi="Times New Roman" w:cs="Times New Roman"/>
          <w:sz w:val="20"/>
          <w:szCs w:val="20"/>
        </w:rPr>
        <w:t>A</w:t>
      </w:r>
      <w:r w:rsidR="00911A6A">
        <w:rPr>
          <w:rFonts w:ascii="Times New Roman" w:hAnsi="Times New Roman" w:cs="Times New Roman"/>
          <w:sz w:val="20"/>
          <w:szCs w:val="20"/>
        </w:rPr>
        <w:t xml:space="preserve"> Nearest Neighbour </w:t>
      </w:r>
      <w:r w:rsidR="008277CD">
        <w:rPr>
          <w:rFonts w:ascii="Times New Roman" w:hAnsi="Times New Roman" w:cs="Times New Roman"/>
          <w:sz w:val="20"/>
          <w:szCs w:val="20"/>
        </w:rPr>
        <w:t>algorithm construct</w:t>
      </w:r>
      <w:r w:rsidR="0025118D">
        <w:rPr>
          <w:rFonts w:ascii="Times New Roman" w:hAnsi="Times New Roman" w:cs="Times New Roman"/>
          <w:sz w:val="20"/>
          <w:szCs w:val="20"/>
        </w:rPr>
        <w:t>ed</w:t>
      </w:r>
      <w:r w:rsidR="008277CD">
        <w:rPr>
          <w:rFonts w:ascii="Times New Roman" w:hAnsi="Times New Roman" w:cs="Times New Roman"/>
          <w:sz w:val="20"/>
          <w:szCs w:val="20"/>
        </w:rPr>
        <w:t xml:space="preserve"> a pool</w:t>
      </w:r>
      <w:r w:rsidR="007A15E1">
        <w:rPr>
          <w:rFonts w:ascii="Times New Roman" w:hAnsi="Times New Roman" w:cs="Times New Roman"/>
          <w:sz w:val="20"/>
          <w:szCs w:val="20"/>
        </w:rPr>
        <w:t xml:space="preserve"> of potential donors</w:t>
      </w:r>
      <w:r w:rsidR="004908A2">
        <w:rPr>
          <w:rFonts w:ascii="Times New Roman" w:hAnsi="Times New Roman" w:cs="Times New Roman"/>
          <w:sz w:val="20"/>
          <w:szCs w:val="20"/>
        </w:rPr>
        <w:t xml:space="preserve"> statistically</w:t>
      </w:r>
      <w:r w:rsidR="00A9462A">
        <w:rPr>
          <w:rFonts w:ascii="Times New Roman" w:hAnsi="Times New Roman" w:cs="Times New Roman"/>
          <w:sz w:val="20"/>
          <w:szCs w:val="20"/>
        </w:rPr>
        <w:t xml:space="preserve"> si</w:t>
      </w:r>
      <w:r w:rsidR="009B07A3">
        <w:rPr>
          <w:rFonts w:ascii="Times New Roman" w:hAnsi="Times New Roman" w:cs="Times New Roman"/>
          <w:sz w:val="20"/>
          <w:szCs w:val="20"/>
        </w:rPr>
        <w:t>milar to the</w:t>
      </w:r>
      <w:r w:rsidR="008277CD">
        <w:rPr>
          <w:rFonts w:ascii="Times New Roman" w:hAnsi="Times New Roman" w:cs="Times New Roman"/>
          <w:sz w:val="20"/>
          <w:szCs w:val="20"/>
        </w:rPr>
        <w:t xml:space="preserve"> reco</w:t>
      </w:r>
      <w:r w:rsidR="001238FE">
        <w:rPr>
          <w:rFonts w:ascii="Times New Roman" w:hAnsi="Times New Roman" w:cs="Times New Roman"/>
          <w:sz w:val="20"/>
          <w:szCs w:val="20"/>
        </w:rPr>
        <w:t>rd being imputed</w:t>
      </w:r>
      <w:r>
        <w:rPr>
          <w:rFonts w:ascii="Times New Roman" w:hAnsi="Times New Roman" w:cs="Times New Roman"/>
          <w:sz w:val="20"/>
          <w:szCs w:val="20"/>
        </w:rPr>
        <w:t xml:space="preserve"> based on</w:t>
      </w:r>
      <w:r w:rsidR="00784AC1">
        <w:rPr>
          <w:rFonts w:ascii="Times New Roman" w:hAnsi="Times New Roman" w:cs="Times New Roman"/>
          <w:sz w:val="20"/>
          <w:szCs w:val="20"/>
        </w:rPr>
        <w:t xml:space="preserve"> </w:t>
      </w:r>
      <w:r w:rsidR="004908A2">
        <w:rPr>
          <w:rFonts w:ascii="Times New Roman" w:hAnsi="Times New Roman" w:cs="Times New Roman"/>
          <w:sz w:val="20"/>
          <w:szCs w:val="20"/>
        </w:rPr>
        <w:t xml:space="preserve">available </w:t>
      </w:r>
      <w:r w:rsidR="00AC53C2">
        <w:rPr>
          <w:rFonts w:ascii="Times New Roman" w:hAnsi="Times New Roman" w:cs="Times New Roman"/>
          <w:sz w:val="20"/>
          <w:szCs w:val="20"/>
        </w:rPr>
        <w:t xml:space="preserve">data </w:t>
      </w:r>
      <w:r w:rsidR="001B777F">
        <w:rPr>
          <w:rFonts w:ascii="Times New Roman" w:hAnsi="Times New Roman" w:cs="Times New Roman"/>
          <w:sz w:val="20"/>
          <w:szCs w:val="20"/>
        </w:rPr>
        <w:t>in</w:t>
      </w:r>
      <w:r w:rsidR="007A15E1">
        <w:rPr>
          <w:rFonts w:ascii="Times New Roman" w:hAnsi="Times New Roman" w:cs="Times New Roman"/>
          <w:sz w:val="20"/>
          <w:szCs w:val="20"/>
        </w:rPr>
        <w:t xml:space="preserve"> the</w:t>
      </w:r>
      <w:r w:rsidR="004908A2">
        <w:rPr>
          <w:rFonts w:ascii="Times New Roman" w:hAnsi="Times New Roman" w:cs="Times New Roman"/>
          <w:sz w:val="20"/>
          <w:szCs w:val="20"/>
        </w:rPr>
        <w:t xml:space="preserve"> matching variable</w:t>
      </w:r>
      <w:r w:rsidR="007A15E1">
        <w:rPr>
          <w:rFonts w:ascii="Times New Roman" w:hAnsi="Times New Roman" w:cs="Times New Roman"/>
          <w:sz w:val="20"/>
          <w:szCs w:val="20"/>
        </w:rPr>
        <w:t xml:space="preserve"> set</w:t>
      </w:r>
      <w:r w:rsidR="004908A2">
        <w:rPr>
          <w:rFonts w:ascii="Times New Roman" w:hAnsi="Times New Roman" w:cs="Times New Roman"/>
          <w:sz w:val="20"/>
          <w:szCs w:val="20"/>
        </w:rPr>
        <w:t>.</w:t>
      </w:r>
      <w:r w:rsidR="00984ABF">
        <w:rPr>
          <w:rFonts w:ascii="Times New Roman" w:hAnsi="Times New Roman" w:cs="Times New Roman"/>
          <w:sz w:val="20"/>
          <w:szCs w:val="20"/>
        </w:rPr>
        <w:t xml:space="preserve"> </w:t>
      </w:r>
      <w:r w:rsidR="009B07A3">
        <w:rPr>
          <w:rFonts w:ascii="Times New Roman" w:hAnsi="Times New Roman" w:cs="Times New Roman"/>
          <w:sz w:val="20"/>
          <w:szCs w:val="20"/>
        </w:rPr>
        <w:t>From that pool, t</w:t>
      </w:r>
      <w:r w:rsidR="00520D4E">
        <w:rPr>
          <w:rFonts w:ascii="Times New Roman" w:hAnsi="Times New Roman" w:cs="Times New Roman"/>
          <w:sz w:val="20"/>
          <w:szCs w:val="20"/>
        </w:rPr>
        <w:t>he donor that supplie</w:t>
      </w:r>
      <w:r w:rsidR="0025118D">
        <w:rPr>
          <w:rFonts w:ascii="Times New Roman" w:hAnsi="Times New Roman" w:cs="Times New Roman"/>
          <w:sz w:val="20"/>
          <w:szCs w:val="20"/>
        </w:rPr>
        <w:t>d</w:t>
      </w:r>
      <w:r w:rsidR="00520D4E">
        <w:rPr>
          <w:rFonts w:ascii="Times New Roman" w:hAnsi="Times New Roman" w:cs="Times New Roman"/>
          <w:sz w:val="20"/>
          <w:szCs w:val="20"/>
        </w:rPr>
        <w:t xml:space="preserve"> </w:t>
      </w:r>
      <w:r w:rsidR="00984ABF">
        <w:rPr>
          <w:rFonts w:ascii="Times New Roman" w:hAnsi="Times New Roman" w:cs="Times New Roman"/>
          <w:sz w:val="20"/>
          <w:szCs w:val="20"/>
        </w:rPr>
        <w:t>an</w:t>
      </w:r>
      <w:r w:rsidR="00683B59">
        <w:rPr>
          <w:rFonts w:ascii="Times New Roman" w:hAnsi="Times New Roman" w:cs="Times New Roman"/>
          <w:sz w:val="20"/>
          <w:szCs w:val="20"/>
        </w:rPr>
        <w:t xml:space="preserve"> </w:t>
      </w:r>
      <w:r w:rsidR="00520D4E">
        <w:rPr>
          <w:rFonts w:ascii="Times New Roman" w:hAnsi="Times New Roman" w:cs="Times New Roman"/>
          <w:sz w:val="20"/>
          <w:szCs w:val="20"/>
        </w:rPr>
        <w:t>imputed value</w:t>
      </w:r>
      <w:r w:rsidR="002E30F5">
        <w:rPr>
          <w:rFonts w:ascii="Times New Roman" w:hAnsi="Times New Roman" w:cs="Times New Roman"/>
          <w:sz w:val="20"/>
          <w:szCs w:val="20"/>
        </w:rPr>
        <w:t xml:space="preserve"> </w:t>
      </w:r>
      <w:r w:rsidR="0025118D">
        <w:rPr>
          <w:rFonts w:ascii="Times New Roman" w:hAnsi="Times New Roman" w:cs="Times New Roman"/>
          <w:sz w:val="20"/>
          <w:szCs w:val="20"/>
        </w:rPr>
        <w:t>wa</w:t>
      </w:r>
      <w:r w:rsidR="007779F3">
        <w:rPr>
          <w:rFonts w:ascii="Times New Roman" w:hAnsi="Times New Roman" w:cs="Times New Roman"/>
          <w:sz w:val="20"/>
          <w:szCs w:val="20"/>
        </w:rPr>
        <w:t>s</w:t>
      </w:r>
      <w:r w:rsidR="00520D4E">
        <w:rPr>
          <w:rFonts w:ascii="Times New Roman" w:hAnsi="Times New Roman" w:cs="Times New Roman"/>
          <w:sz w:val="20"/>
          <w:szCs w:val="20"/>
        </w:rPr>
        <w:t xml:space="preserve"> chosen </w:t>
      </w:r>
      <w:r w:rsidR="00CC5D6E">
        <w:rPr>
          <w:rFonts w:ascii="Times New Roman" w:hAnsi="Times New Roman" w:cs="Times New Roman"/>
          <w:sz w:val="20"/>
          <w:szCs w:val="20"/>
        </w:rPr>
        <w:t>randomly from a set of</w:t>
      </w:r>
      <w:r w:rsidR="00520D4E">
        <w:rPr>
          <w:rFonts w:ascii="Times New Roman" w:hAnsi="Times New Roman" w:cs="Times New Roman"/>
          <w:sz w:val="20"/>
          <w:szCs w:val="20"/>
        </w:rPr>
        <w:t xml:space="preserve"> near minimum cha</w:t>
      </w:r>
      <w:r w:rsidR="001B777F">
        <w:rPr>
          <w:rFonts w:ascii="Times New Roman" w:hAnsi="Times New Roman" w:cs="Times New Roman"/>
          <w:sz w:val="20"/>
          <w:szCs w:val="20"/>
        </w:rPr>
        <w:t>nge imputation actions (NMCIAs)</w:t>
      </w:r>
      <w:r w:rsidR="00CA1FEC">
        <w:rPr>
          <w:rFonts w:ascii="Times New Roman" w:hAnsi="Times New Roman" w:cs="Times New Roman"/>
          <w:sz w:val="20"/>
          <w:szCs w:val="20"/>
        </w:rPr>
        <w:t xml:space="preserve"> (</w:t>
      </w:r>
      <w:r w:rsidR="00B85FD5">
        <w:rPr>
          <w:rFonts w:ascii="Times New Roman" w:hAnsi="Times New Roman" w:cs="Times New Roman"/>
          <w:color w:val="000000"/>
          <w:sz w:val="20"/>
          <w:szCs w:val="20"/>
        </w:rPr>
        <w:t xml:space="preserve">Bankier et al., </w:t>
      </w:r>
      <w:r w:rsidR="001541B0" w:rsidRPr="001541B0">
        <w:rPr>
          <w:rFonts w:ascii="Times New Roman" w:hAnsi="Times New Roman" w:cs="Times New Roman"/>
          <w:color w:val="000000"/>
          <w:sz w:val="20"/>
          <w:szCs w:val="20"/>
        </w:rPr>
        <w:t>1999;</w:t>
      </w:r>
      <w:r w:rsidR="001541B0">
        <w:rPr>
          <w:color w:val="000000"/>
        </w:rPr>
        <w:t xml:space="preserve"> </w:t>
      </w:r>
      <w:r w:rsidR="00CA1FEC">
        <w:rPr>
          <w:rFonts w:ascii="Times New Roman" w:hAnsi="Times New Roman" w:cs="Times New Roman"/>
          <w:sz w:val="20"/>
          <w:szCs w:val="20"/>
        </w:rPr>
        <w:t>C</w:t>
      </w:r>
      <w:r w:rsidR="00A43B56">
        <w:rPr>
          <w:rFonts w:ascii="Times New Roman" w:hAnsi="Times New Roman" w:cs="Times New Roman"/>
          <w:sz w:val="20"/>
          <w:szCs w:val="20"/>
        </w:rPr>
        <w:t>ANCEIS</w:t>
      </w:r>
      <w:r w:rsidR="00CA1FEC">
        <w:rPr>
          <w:rFonts w:ascii="Times New Roman" w:hAnsi="Times New Roman" w:cs="Times New Roman"/>
          <w:sz w:val="20"/>
          <w:szCs w:val="20"/>
        </w:rPr>
        <w:t>, 2009)</w:t>
      </w:r>
      <w:r w:rsidR="00C32BF3">
        <w:rPr>
          <w:rFonts w:ascii="Times New Roman" w:hAnsi="Times New Roman" w:cs="Times New Roman"/>
          <w:sz w:val="20"/>
          <w:szCs w:val="20"/>
        </w:rPr>
        <w:t xml:space="preserve">. </w:t>
      </w:r>
      <w:r w:rsidR="00D61B97">
        <w:rPr>
          <w:rFonts w:ascii="Times New Roman" w:hAnsi="Times New Roman" w:cs="Times New Roman"/>
          <w:sz w:val="20"/>
          <w:szCs w:val="20"/>
        </w:rPr>
        <w:t>This strategy</w:t>
      </w:r>
      <w:r w:rsidR="00683B59">
        <w:rPr>
          <w:rFonts w:ascii="Times New Roman" w:hAnsi="Times New Roman" w:cs="Times New Roman"/>
          <w:sz w:val="20"/>
          <w:szCs w:val="20"/>
        </w:rPr>
        <w:t xml:space="preserve"> provide</w:t>
      </w:r>
      <w:r w:rsidR="00D61B97">
        <w:rPr>
          <w:rFonts w:ascii="Times New Roman" w:hAnsi="Times New Roman" w:cs="Times New Roman"/>
          <w:sz w:val="20"/>
          <w:szCs w:val="20"/>
        </w:rPr>
        <w:t>s</w:t>
      </w:r>
      <w:r w:rsidR="00683B59">
        <w:rPr>
          <w:rFonts w:ascii="Times New Roman" w:hAnsi="Times New Roman" w:cs="Times New Roman"/>
          <w:sz w:val="20"/>
          <w:szCs w:val="20"/>
        </w:rPr>
        <w:t xml:space="preserve"> point and variance estimates</w:t>
      </w:r>
      <w:r w:rsidR="001238FE">
        <w:rPr>
          <w:rFonts w:ascii="Times New Roman" w:hAnsi="Times New Roman" w:cs="Times New Roman"/>
          <w:sz w:val="20"/>
          <w:szCs w:val="20"/>
        </w:rPr>
        <w:t xml:space="preserve"> of</w:t>
      </w:r>
      <w:r w:rsidR="00B82B7D">
        <w:rPr>
          <w:rFonts w:ascii="Times New Roman" w:hAnsi="Times New Roman" w:cs="Times New Roman"/>
          <w:sz w:val="20"/>
          <w:szCs w:val="20"/>
        </w:rPr>
        <w:t xml:space="preserve"> the</w:t>
      </w:r>
      <w:r w:rsidR="00B50C3A">
        <w:rPr>
          <w:rFonts w:ascii="Times New Roman" w:hAnsi="Times New Roman" w:cs="Times New Roman"/>
          <w:sz w:val="20"/>
          <w:szCs w:val="20"/>
        </w:rPr>
        <w:t xml:space="preserve"> distribution of the</w:t>
      </w:r>
      <w:r w:rsidR="00B82B7D">
        <w:rPr>
          <w:rFonts w:ascii="Times New Roman" w:hAnsi="Times New Roman" w:cs="Times New Roman"/>
          <w:sz w:val="20"/>
          <w:szCs w:val="20"/>
        </w:rPr>
        <w:t xml:space="preserve"> missing data conditioned by</w:t>
      </w:r>
      <w:r w:rsidR="001238FE">
        <w:rPr>
          <w:rFonts w:ascii="Times New Roman" w:hAnsi="Times New Roman" w:cs="Times New Roman"/>
          <w:sz w:val="20"/>
          <w:szCs w:val="20"/>
        </w:rPr>
        <w:t xml:space="preserve"> the underlying imputation model</w:t>
      </w:r>
      <w:r w:rsidR="00E2160E">
        <w:rPr>
          <w:rFonts w:ascii="Times New Roman" w:hAnsi="Times New Roman" w:cs="Times New Roman"/>
          <w:sz w:val="20"/>
          <w:szCs w:val="20"/>
        </w:rPr>
        <w:t xml:space="preserve"> (from here</w:t>
      </w:r>
      <w:r w:rsidR="00784AC1">
        <w:rPr>
          <w:rFonts w:ascii="Times New Roman" w:hAnsi="Times New Roman" w:cs="Times New Roman"/>
          <w:sz w:val="20"/>
          <w:szCs w:val="20"/>
        </w:rPr>
        <w:t xml:space="preserve"> on</w:t>
      </w:r>
      <w:r w:rsidR="00E2160E">
        <w:rPr>
          <w:rFonts w:ascii="Times New Roman" w:hAnsi="Times New Roman" w:cs="Times New Roman"/>
          <w:sz w:val="20"/>
          <w:szCs w:val="20"/>
        </w:rPr>
        <w:t xml:space="preserve"> referred to as imputation estimates)</w:t>
      </w:r>
      <w:r w:rsidR="001238FE">
        <w:rPr>
          <w:rFonts w:ascii="Times New Roman" w:hAnsi="Times New Roman" w:cs="Times New Roman"/>
          <w:sz w:val="20"/>
          <w:szCs w:val="20"/>
        </w:rPr>
        <w:t>.</w:t>
      </w:r>
      <w:r w:rsidR="0021064C">
        <w:rPr>
          <w:rFonts w:ascii="Times New Roman" w:hAnsi="Times New Roman" w:cs="Times New Roman"/>
          <w:sz w:val="20"/>
          <w:szCs w:val="20"/>
        </w:rPr>
        <w:t xml:space="preserve"> </w:t>
      </w:r>
    </w:p>
    <w:p w:rsidR="00683B59" w:rsidRDefault="00683B59" w:rsidP="00A510D3">
      <w:pPr>
        <w:spacing w:after="0" w:line="240" w:lineRule="auto"/>
        <w:rPr>
          <w:rFonts w:ascii="Times New Roman" w:hAnsi="Times New Roman" w:cs="Times New Roman"/>
          <w:sz w:val="20"/>
          <w:szCs w:val="20"/>
        </w:rPr>
      </w:pPr>
    </w:p>
    <w:p w:rsidR="00F616A3" w:rsidRDefault="003E5ECB" w:rsidP="00A510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Following</w:t>
      </w:r>
      <w:r w:rsidR="00D90513">
        <w:rPr>
          <w:rFonts w:ascii="Times New Roman" w:hAnsi="Times New Roman" w:cs="Times New Roman"/>
          <w:color w:val="000000"/>
          <w:sz w:val="20"/>
          <w:szCs w:val="20"/>
        </w:rPr>
        <w:t xml:space="preserve"> a detailed research programme</w:t>
      </w:r>
      <w:r>
        <w:rPr>
          <w:rFonts w:ascii="Times New Roman" w:hAnsi="Times New Roman" w:cs="Times New Roman"/>
          <w:color w:val="000000"/>
          <w:sz w:val="20"/>
          <w:szCs w:val="20"/>
        </w:rPr>
        <w:t xml:space="preserve"> after completion of the 2011 Census</w:t>
      </w:r>
      <w:r w:rsidR="00B82B7D">
        <w:rPr>
          <w:rFonts w:ascii="Times New Roman" w:hAnsi="Times New Roman" w:cs="Times New Roman"/>
          <w:color w:val="000000"/>
          <w:sz w:val="20"/>
          <w:szCs w:val="20"/>
        </w:rPr>
        <w:t>,</w:t>
      </w:r>
      <w:r w:rsidR="0040439D">
        <w:rPr>
          <w:rFonts w:ascii="Times New Roman" w:hAnsi="Times New Roman" w:cs="Times New Roman"/>
          <w:color w:val="000000"/>
          <w:sz w:val="20"/>
          <w:szCs w:val="20"/>
        </w:rPr>
        <w:t xml:space="preserve"> the National Statistician</w:t>
      </w:r>
      <w:r w:rsidR="00D90513">
        <w:rPr>
          <w:rFonts w:ascii="Times New Roman" w:hAnsi="Times New Roman" w:cs="Times New Roman"/>
          <w:color w:val="000000"/>
          <w:sz w:val="20"/>
          <w:szCs w:val="20"/>
        </w:rPr>
        <w:t xml:space="preserve"> </w:t>
      </w:r>
      <w:r w:rsidR="0040439D">
        <w:rPr>
          <w:rFonts w:ascii="Times New Roman" w:hAnsi="Times New Roman" w:cs="Times New Roman"/>
          <w:color w:val="000000"/>
          <w:sz w:val="20"/>
          <w:szCs w:val="20"/>
        </w:rPr>
        <w:t>recommended</w:t>
      </w:r>
      <w:r w:rsidR="007263DD" w:rsidRPr="000C66AE">
        <w:rPr>
          <w:rFonts w:ascii="Times New Roman" w:hAnsi="Times New Roman" w:cs="Times New Roman"/>
          <w:color w:val="000000"/>
          <w:sz w:val="20"/>
          <w:szCs w:val="20"/>
        </w:rPr>
        <w:t xml:space="preserve"> a predominantly online </w:t>
      </w:r>
      <w:r w:rsidR="00CC5D6E">
        <w:rPr>
          <w:rFonts w:ascii="Times New Roman" w:hAnsi="Times New Roman" w:cs="Times New Roman"/>
          <w:color w:val="000000"/>
          <w:sz w:val="20"/>
          <w:szCs w:val="20"/>
        </w:rPr>
        <w:t xml:space="preserve">UK </w:t>
      </w:r>
      <w:r w:rsidR="00690850">
        <w:rPr>
          <w:rFonts w:ascii="Times New Roman" w:hAnsi="Times New Roman" w:cs="Times New Roman"/>
          <w:color w:val="000000"/>
          <w:sz w:val="20"/>
          <w:szCs w:val="20"/>
        </w:rPr>
        <w:t>C</w:t>
      </w:r>
      <w:r w:rsidR="007263DD" w:rsidRPr="000C66AE">
        <w:rPr>
          <w:rFonts w:ascii="Times New Roman" w:hAnsi="Times New Roman" w:cs="Times New Roman"/>
          <w:color w:val="000000"/>
          <w:sz w:val="20"/>
          <w:szCs w:val="20"/>
        </w:rPr>
        <w:t>ensus in 2021, supplemented by</w:t>
      </w:r>
      <w:r w:rsidR="00D90513">
        <w:rPr>
          <w:rFonts w:ascii="Times New Roman" w:hAnsi="Times New Roman" w:cs="Times New Roman"/>
          <w:color w:val="000000"/>
          <w:sz w:val="20"/>
          <w:szCs w:val="20"/>
        </w:rPr>
        <w:t xml:space="preserve"> the</w:t>
      </w:r>
      <w:r w:rsidR="007263DD" w:rsidRPr="000C66AE">
        <w:rPr>
          <w:rFonts w:ascii="Times New Roman" w:hAnsi="Times New Roman" w:cs="Times New Roman"/>
          <w:color w:val="000000"/>
          <w:sz w:val="20"/>
          <w:szCs w:val="20"/>
        </w:rPr>
        <w:t xml:space="preserve"> use of </w:t>
      </w:r>
      <w:r w:rsidR="00D90513">
        <w:rPr>
          <w:rFonts w:ascii="Times New Roman" w:hAnsi="Times New Roman" w:cs="Times New Roman"/>
          <w:color w:val="000000"/>
          <w:sz w:val="20"/>
          <w:szCs w:val="20"/>
        </w:rPr>
        <w:t>administrative</w:t>
      </w:r>
      <w:r w:rsidR="00C32BF3">
        <w:rPr>
          <w:rFonts w:ascii="Times New Roman" w:hAnsi="Times New Roman" w:cs="Times New Roman"/>
          <w:color w:val="000000"/>
          <w:sz w:val="20"/>
          <w:szCs w:val="20"/>
        </w:rPr>
        <w:t xml:space="preserve"> data.</w:t>
      </w:r>
      <w:r w:rsidR="00B82B7D">
        <w:rPr>
          <w:rFonts w:ascii="Times New Roman" w:hAnsi="Times New Roman" w:cs="Times New Roman"/>
          <w:color w:val="000000"/>
          <w:sz w:val="20"/>
          <w:szCs w:val="20"/>
        </w:rPr>
        <w:t xml:space="preserve"> This was approved by</w:t>
      </w:r>
      <w:r w:rsidR="00D90513">
        <w:rPr>
          <w:rFonts w:ascii="Times New Roman" w:hAnsi="Times New Roman" w:cs="Times New Roman"/>
          <w:color w:val="000000"/>
          <w:sz w:val="20"/>
          <w:szCs w:val="20"/>
        </w:rPr>
        <w:t xml:space="preserve"> th</w:t>
      </w:r>
      <w:r w:rsidR="00D90513" w:rsidRPr="00D90513">
        <w:rPr>
          <w:rFonts w:ascii="Times New Roman" w:hAnsi="Times New Roman" w:cs="Times New Roman"/>
          <w:color w:val="000000"/>
          <w:sz w:val="20"/>
          <w:szCs w:val="20"/>
        </w:rPr>
        <w:t>e UK Government</w:t>
      </w:r>
      <w:r w:rsidR="00C32BF3">
        <w:rPr>
          <w:rFonts w:ascii="Times New Roman" w:hAnsi="Times New Roman" w:cs="Times New Roman"/>
          <w:color w:val="000000"/>
          <w:sz w:val="20"/>
          <w:szCs w:val="20"/>
        </w:rPr>
        <w:t xml:space="preserve"> in July 2014. </w:t>
      </w:r>
      <w:r w:rsidR="00F438F7">
        <w:rPr>
          <w:rFonts w:ascii="Times New Roman" w:hAnsi="Times New Roman" w:cs="Times New Roman"/>
          <w:color w:val="000000"/>
          <w:sz w:val="20"/>
          <w:szCs w:val="20"/>
        </w:rPr>
        <w:t xml:space="preserve">The </w:t>
      </w:r>
      <w:r w:rsidR="0059544D">
        <w:rPr>
          <w:rFonts w:ascii="Times New Roman" w:hAnsi="Times New Roman" w:cs="Times New Roman"/>
          <w:color w:val="000000"/>
          <w:sz w:val="20"/>
          <w:szCs w:val="20"/>
        </w:rPr>
        <w:t>ONS is now fully</w:t>
      </w:r>
      <w:r w:rsidR="00D90513">
        <w:rPr>
          <w:rFonts w:ascii="Times New Roman" w:hAnsi="Times New Roman" w:cs="Times New Roman"/>
          <w:color w:val="000000"/>
          <w:sz w:val="20"/>
          <w:szCs w:val="20"/>
        </w:rPr>
        <w:t xml:space="preserve"> committed</w:t>
      </w:r>
      <w:r w:rsidR="0059544D">
        <w:rPr>
          <w:rFonts w:ascii="Times New Roman" w:hAnsi="Times New Roman" w:cs="Times New Roman"/>
          <w:color w:val="000000"/>
          <w:sz w:val="20"/>
          <w:szCs w:val="20"/>
        </w:rPr>
        <w:t xml:space="preserve"> to the</w:t>
      </w:r>
      <w:r w:rsidR="00321228">
        <w:rPr>
          <w:rFonts w:ascii="Times New Roman" w:hAnsi="Times New Roman" w:cs="Times New Roman"/>
          <w:color w:val="000000"/>
          <w:sz w:val="20"/>
          <w:szCs w:val="20"/>
        </w:rPr>
        <w:t xml:space="preserve"> develop</w:t>
      </w:r>
      <w:r w:rsidR="0059544D">
        <w:rPr>
          <w:rFonts w:ascii="Times New Roman" w:hAnsi="Times New Roman" w:cs="Times New Roman"/>
          <w:color w:val="000000"/>
          <w:sz w:val="20"/>
          <w:szCs w:val="20"/>
        </w:rPr>
        <w:t>ment</w:t>
      </w:r>
      <w:r w:rsidR="0021064C">
        <w:rPr>
          <w:rFonts w:ascii="Times New Roman" w:hAnsi="Times New Roman" w:cs="Times New Roman"/>
          <w:color w:val="000000"/>
          <w:sz w:val="20"/>
          <w:szCs w:val="20"/>
        </w:rPr>
        <w:t xml:space="preserve"> of a different kind of Census in 2021</w:t>
      </w:r>
      <w:r w:rsidR="00C14580">
        <w:rPr>
          <w:rFonts w:ascii="Times New Roman" w:hAnsi="Times New Roman" w:cs="Times New Roman"/>
          <w:color w:val="000000"/>
          <w:sz w:val="20"/>
          <w:szCs w:val="20"/>
        </w:rPr>
        <w:t>.</w:t>
      </w:r>
      <w:r w:rsidR="00C32BF3">
        <w:rPr>
          <w:rFonts w:ascii="Times New Roman" w:hAnsi="Times New Roman" w:cs="Times New Roman"/>
          <w:color w:val="000000"/>
          <w:sz w:val="20"/>
          <w:szCs w:val="20"/>
        </w:rPr>
        <w:t xml:space="preserve"> </w:t>
      </w:r>
      <w:r w:rsidR="00B82B7D">
        <w:rPr>
          <w:rFonts w:ascii="Times New Roman" w:hAnsi="Times New Roman" w:cs="Times New Roman"/>
          <w:color w:val="000000"/>
          <w:sz w:val="20"/>
          <w:szCs w:val="20"/>
        </w:rPr>
        <w:t>E</w:t>
      </w:r>
      <w:r w:rsidR="0040439D">
        <w:rPr>
          <w:rFonts w:ascii="Times New Roman" w:hAnsi="Times New Roman" w:cs="Times New Roman"/>
          <w:color w:val="000000"/>
          <w:sz w:val="20"/>
          <w:szCs w:val="20"/>
        </w:rPr>
        <w:t>xploring</w:t>
      </w:r>
      <w:r w:rsidR="00F616A3">
        <w:rPr>
          <w:rFonts w:ascii="Times New Roman" w:hAnsi="Times New Roman" w:cs="Times New Roman"/>
          <w:color w:val="000000"/>
          <w:sz w:val="20"/>
          <w:szCs w:val="20"/>
        </w:rPr>
        <w:t xml:space="preserve"> </w:t>
      </w:r>
      <w:r w:rsidR="00AC53C2">
        <w:rPr>
          <w:rFonts w:ascii="Times New Roman" w:hAnsi="Times New Roman" w:cs="Times New Roman"/>
          <w:color w:val="000000"/>
          <w:sz w:val="20"/>
          <w:szCs w:val="20"/>
        </w:rPr>
        <w:t>the impact that</w:t>
      </w:r>
      <w:r w:rsidR="00310A54">
        <w:rPr>
          <w:rFonts w:ascii="Times New Roman" w:hAnsi="Times New Roman" w:cs="Times New Roman"/>
          <w:color w:val="000000"/>
          <w:sz w:val="20"/>
          <w:szCs w:val="20"/>
        </w:rPr>
        <w:t xml:space="preserve"> administrat</w:t>
      </w:r>
      <w:r w:rsidR="00C32BF3">
        <w:rPr>
          <w:rFonts w:ascii="Times New Roman" w:hAnsi="Times New Roman" w:cs="Times New Roman"/>
          <w:color w:val="000000"/>
          <w:sz w:val="20"/>
          <w:szCs w:val="20"/>
        </w:rPr>
        <w:t>ive</w:t>
      </w:r>
      <w:r w:rsidR="00AC53C2">
        <w:rPr>
          <w:rFonts w:ascii="Times New Roman" w:hAnsi="Times New Roman" w:cs="Times New Roman"/>
          <w:color w:val="000000"/>
          <w:sz w:val="20"/>
          <w:szCs w:val="20"/>
        </w:rPr>
        <w:t xml:space="preserve"> data </w:t>
      </w:r>
      <w:r w:rsidR="00F616A3">
        <w:rPr>
          <w:rFonts w:ascii="Times New Roman" w:hAnsi="Times New Roman" w:cs="Times New Roman"/>
          <w:color w:val="000000"/>
          <w:sz w:val="20"/>
          <w:szCs w:val="20"/>
        </w:rPr>
        <w:t xml:space="preserve">may have on </w:t>
      </w:r>
      <w:r w:rsidR="00AC53C2">
        <w:rPr>
          <w:rFonts w:ascii="Times New Roman" w:hAnsi="Times New Roman" w:cs="Times New Roman"/>
          <w:color w:val="000000"/>
          <w:sz w:val="20"/>
          <w:szCs w:val="20"/>
        </w:rPr>
        <w:t>the accuracy of imputation estimates</w:t>
      </w:r>
      <w:r w:rsidR="00B82B7D">
        <w:rPr>
          <w:rFonts w:ascii="Times New Roman" w:hAnsi="Times New Roman" w:cs="Times New Roman"/>
          <w:color w:val="000000"/>
          <w:sz w:val="20"/>
          <w:szCs w:val="20"/>
        </w:rPr>
        <w:t xml:space="preserve"> </w:t>
      </w:r>
      <w:r w:rsidR="00B711B9">
        <w:rPr>
          <w:rFonts w:ascii="Times New Roman" w:hAnsi="Times New Roman" w:cs="Times New Roman"/>
          <w:color w:val="000000"/>
          <w:sz w:val="20"/>
          <w:szCs w:val="20"/>
        </w:rPr>
        <w:t>is therefore an important facet of that commitment</w:t>
      </w:r>
      <w:r w:rsidR="00310A54">
        <w:rPr>
          <w:rFonts w:ascii="Times New Roman" w:hAnsi="Times New Roman" w:cs="Times New Roman"/>
          <w:color w:val="000000"/>
          <w:sz w:val="20"/>
          <w:szCs w:val="20"/>
        </w:rPr>
        <w:t>.</w:t>
      </w:r>
      <w:r w:rsidR="0059544D">
        <w:rPr>
          <w:rFonts w:ascii="Times New Roman" w:hAnsi="Times New Roman" w:cs="Times New Roman"/>
          <w:color w:val="000000"/>
          <w:sz w:val="20"/>
          <w:szCs w:val="20"/>
        </w:rPr>
        <w:t xml:space="preserve">  </w:t>
      </w:r>
    </w:p>
    <w:p w:rsidR="00C32BF3" w:rsidRDefault="00C32BF3" w:rsidP="00A510D3">
      <w:pPr>
        <w:spacing w:after="0" w:line="240" w:lineRule="auto"/>
        <w:rPr>
          <w:rFonts w:ascii="Times New Roman" w:hAnsi="Times New Roman" w:cs="Times New Roman"/>
          <w:color w:val="000000"/>
          <w:sz w:val="20"/>
          <w:szCs w:val="20"/>
        </w:rPr>
      </w:pPr>
    </w:p>
    <w:p w:rsidR="00C32BF3" w:rsidRDefault="00C32BF3" w:rsidP="00A510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Blum (2006)</w:t>
      </w:r>
      <w:r w:rsidR="0010676E">
        <w:rPr>
          <w:rFonts w:ascii="Times New Roman" w:hAnsi="Times New Roman" w:cs="Times New Roman"/>
          <w:color w:val="000000"/>
          <w:sz w:val="20"/>
          <w:szCs w:val="20"/>
        </w:rPr>
        <w:t xml:space="preserve"> </w:t>
      </w:r>
      <w:r w:rsidR="007F5959">
        <w:rPr>
          <w:rFonts w:ascii="Times New Roman" w:hAnsi="Times New Roman" w:cs="Times New Roman"/>
          <w:color w:val="000000"/>
          <w:sz w:val="20"/>
          <w:szCs w:val="20"/>
        </w:rPr>
        <w:t>describes</w:t>
      </w:r>
      <w:r>
        <w:rPr>
          <w:rFonts w:ascii="Times New Roman" w:hAnsi="Times New Roman" w:cs="Times New Roman"/>
          <w:color w:val="000000"/>
          <w:sz w:val="20"/>
          <w:szCs w:val="20"/>
        </w:rPr>
        <w:t xml:space="preserve"> </w:t>
      </w:r>
      <w:r w:rsidR="00D47081">
        <w:rPr>
          <w:rFonts w:ascii="Times New Roman" w:hAnsi="Times New Roman" w:cs="Times New Roman"/>
          <w:color w:val="000000"/>
          <w:sz w:val="20"/>
          <w:szCs w:val="20"/>
        </w:rPr>
        <w:t>a number of</w:t>
      </w:r>
      <w:r>
        <w:rPr>
          <w:rFonts w:ascii="Times New Roman" w:hAnsi="Times New Roman" w:cs="Times New Roman"/>
          <w:color w:val="000000"/>
          <w:sz w:val="20"/>
          <w:szCs w:val="20"/>
        </w:rPr>
        <w:t xml:space="preserve"> mechanism</w:t>
      </w:r>
      <w:r w:rsidR="00D47081">
        <w:rPr>
          <w:rFonts w:ascii="Times New Roman" w:hAnsi="Times New Roman" w:cs="Times New Roman"/>
          <w:color w:val="000000"/>
          <w:sz w:val="20"/>
          <w:szCs w:val="20"/>
        </w:rPr>
        <w:t>s</w:t>
      </w:r>
      <w:r>
        <w:rPr>
          <w:rFonts w:ascii="Times New Roman" w:hAnsi="Times New Roman" w:cs="Times New Roman"/>
          <w:color w:val="000000"/>
          <w:sz w:val="20"/>
          <w:szCs w:val="20"/>
        </w:rPr>
        <w:t xml:space="preserve"> by which administrative records can</w:t>
      </w:r>
      <w:r w:rsidR="00D47081">
        <w:rPr>
          <w:rFonts w:ascii="Times New Roman" w:hAnsi="Times New Roman" w:cs="Times New Roman"/>
          <w:color w:val="000000"/>
          <w:sz w:val="20"/>
          <w:szCs w:val="20"/>
        </w:rPr>
        <w:t xml:space="preserve"> aid </w:t>
      </w:r>
      <w:r w:rsidR="00325F47">
        <w:rPr>
          <w:rFonts w:ascii="Times New Roman" w:hAnsi="Times New Roman" w:cs="Times New Roman"/>
          <w:color w:val="000000"/>
          <w:sz w:val="20"/>
          <w:szCs w:val="20"/>
        </w:rPr>
        <w:t xml:space="preserve">the </w:t>
      </w:r>
      <w:r w:rsidR="00D47081">
        <w:rPr>
          <w:rFonts w:ascii="Times New Roman" w:hAnsi="Times New Roman" w:cs="Times New Roman"/>
          <w:color w:val="000000"/>
          <w:sz w:val="20"/>
          <w:szCs w:val="20"/>
        </w:rPr>
        <w:t>imputation</w:t>
      </w:r>
      <w:r w:rsidR="00325F47">
        <w:rPr>
          <w:rFonts w:ascii="Times New Roman" w:hAnsi="Times New Roman" w:cs="Times New Roman"/>
          <w:color w:val="000000"/>
          <w:sz w:val="20"/>
          <w:szCs w:val="20"/>
        </w:rPr>
        <w:t xml:space="preserve"> process</w:t>
      </w:r>
      <w:r w:rsidR="00A34C07">
        <w:rPr>
          <w:rFonts w:ascii="Times New Roman" w:hAnsi="Times New Roman" w:cs="Times New Roman"/>
          <w:color w:val="000000"/>
          <w:sz w:val="20"/>
          <w:szCs w:val="20"/>
        </w:rPr>
        <w:t xml:space="preserve">. These include </w:t>
      </w:r>
      <w:r w:rsidR="00A26E9E">
        <w:rPr>
          <w:rFonts w:ascii="Times New Roman" w:hAnsi="Times New Roman" w:cs="Times New Roman"/>
          <w:color w:val="000000"/>
          <w:sz w:val="20"/>
          <w:szCs w:val="20"/>
        </w:rPr>
        <w:t>cold-</w:t>
      </w:r>
      <w:r w:rsidR="00325F47">
        <w:rPr>
          <w:rFonts w:ascii="Times New Roman" w:hAnsi="Times New Roman" w:cs="Times New Roman"/>
          <w:color w:val="000000"/>
          <w:sz w:val="20"/>
          <w:szCs w:val="20"/>
        </w:rPr>
        <w:t>deck imputation,</w:t>
      </w:r>
      <w:r w:rsidR="00A34C07">
        <w:rPr>
          <w:rFonts w:ascii="Times New Roman" w:hAnsi="Times New Roman" w:cs="Times New Roman"/>
          <w:color w:val="000000"/>
          <w:sz w:val="20"/>
          <w:szCs w:val="20"/>
        </w:rPr>
        <w:t xml:space="preserve"> improv</w:t>
      </w:r>
      <w:r w:rsidR="00325F47">
        <w:rPr>
          <w:rFonts w:ascii="Times New Roman" w:hAnsi="Times New Roman" w:cs="Times New Roman"/>
          <w:color w:val="000000"/>
          <w:sz w:val="20"/>
          <w:szCs w:val="20"/>
        </w:rPr>
        <w:t>ing model specification</w:t>
      </w:r>
      <w:r w:rsidR="00A34C07">
        <w:rPr>
          <w:rFonts w:ascii="Times New Roman" w:hAnsi="Times New Roman" w:cs="Times New Roman"/>
          <w:color w:val="000000"/>
          <w:sz w:val="20"/>
          <w:szCs w:val="20"/>
        </w:rPr>
        <w:t>, and continuous quality assurance.</w:t>
      </w:r>
      <w:r w:rsidR="000B0947">
        <w:rPr>
          <w:rFonts w:ascii="Times New Roman" w:hAnsi="Times New Roman" w:cs="Times New Roman"/>
          <w:color w:val="000000"/>
          <w:sz w:val="20"/>
          <w:szCs w:val="20"/>
        </w:rPr>
        <w:t xml:space="preserve"> </w:t>
      </w:r>
      <w:r w:rsidR="00B06F6E">
        <w:rPr>
          <w:rFonts w:ascii="Times New Roman" w:hAnsi="Times New Roman" w:cs="Times New Roman"/>
          <w:color w:val="000000"/>
          <w:sz w:val="20"/>
          <w:szCs w:val="20"/>
        </w:rPr>
        <w:t>The first of these, c</w:t>
      </w:r>
      <w:r w:rsidR="000B0947">
        <w:rPr>
          <w:rFonts w:ascii="Times New Roman" w:hAnsi="Times New Roman" w:cs="Times New Roman"/>
          <w:color w:val="000000"/>
          <w:sz w:val="20"/>
          <w:szCs w:val="20"/>
        </w:rPr>
        <w:t>old-</w:t>
      </w:r>
      <w:r w:rsidR="00A26E9E">
        <w:rPr>
          <w:rFonts w:ascii="Times New Roman" w:hAnsi="Times New Roman" w:cs="Times New Roman"/>
          <w:color w:val="000000"/>
          <w:sz w:val="20"/>
          <w:szCs w:val="20"/>
        </w:rPr>
        <w:t>de</w:t>
      </w:r>
      <w:r w:rsidR="00AA1E60">
        <w:rPr>
          <w:rFonts w:ascii="Times New Roman" w:hAnsi="Times New Roman" w:cs="Times New Roman"/>
          <w:color w:val="000000"/>
          <w:sz w:val="20"/>
          <w:szCs w:val="20"/>
        </w:rPr>
        <w:t>ck imputation</w:t>
      </w:r>
      <w:r w:rsidR="00B06F6E">
        <w:rPr>
          <w:rFonts w:ascii="Times New Roman" w:hAnsi="Times New Roman" w:cs="Times New Roman"/>
          <w:color w:val="000000"/>
          <w:sz w:val="20"/>
          <w:szCs w:val="20"/>
        </w:rPr>
        <w:t>,</w:t>
      </w:r>
      <w:r w:rsidR="00AA1E60">
        <w:rPr>
          <w:rFonts w:ascii="Times New Roman" w:hAnsi="Times New Roman" w:cs="Times New Roman"/>
          <w:color w:val="000000"/>
          <w:sz w:val="20"/>
          <w:szCs w:val="20"/>
        </w:rPr>
        <w:t xml:space="preserve"> carries a risk </w:t>
      </w:r>
      <w:r w:rsidR="00A26E9E">
        <w:rPr>
          <w:rFonts w:ascii="Times New Roman" w:hAnsi="Times New Roman" w:cs="Times New Roman"/>
          <w:color w:val="000000"/>
          <w:sz w:val="20"/>
          <w:szCs w:val="20"/>
        </w:rPr>
        <w:t xml:space="preserve">that observed census data </w:t>
      </w:r>
      <w:r w:rsidR="00B87C2D">
        <w:rPr>
          <w:rFonts w:ascii="Times New Roman" w:hAnsi="Times New Roman" w:cs="Times New Roman"/>
          <w:color w:val="000000"/>
          <w:sz w:val="20"/>
          <w:szCs w:val="20"/>
        </w:rPr>
        <w:t>could</w:t>
      </w:r>
      <w:r w:rsidR="00A26E9E">
        <w:rPr>
          <w:rFonts w:ascii="Times New Roman" w:hAnsi="Times New Roman" w:cs="Times New Roman"/>
          <w:color w:val="000000"/>
          <w:sz w:val="20"/>
          <w:szCs w:val="20"/>
        </w:rPr>
        <w:t xml:space="preserve"> be changed on the basis of </w:t>
      </w:r>
      <w:r w:rsidR="00AA1E60">
        <w:rPr>
          <w:rFonts w:ascii="Times New Roman" w:hAnsi="Times New Roman" w:cs="Times New Roman"/>
          <w:color w:val="000000"/>
          <w:sz w:val="20"/>
          <w:szCs w:val="20"/>
        </w:rPr>
        <w:t xml:space="preserve">inconsistent </w:t>
      </w:r>
      <w:r w:rsidR="00A26E9E">
        <w:rPr>
          <w:rFonts w:ascii="Times New Roman" w:hAnsi="Times New Roman" w:cs="Times New Roman"/>
          <w:color w:val="000000"/>
          <w:sz w:val="20"/>
          <w:szCs w:val="20"/>
        </w:rPr>
        <w:t>va</w:t>
      </w:r>
      <w:r w:rsidR="004C5A49">
        <w:rPr>
          <w:rFonts w:ascii="Times New Roman" w:hAnsi="Times New Roman" w:cs="Times New Roman"/>
          <w:color w:val="000000"/>
          <w:sz w:val="20"/>
          <w:szCs w:val="20"/>
        </w:rPr>
        <w:t>lues</w:t>
      </w:r>
      <w:r w:rsidR="00A26E9E">
        <w:rPr>
          <w:rFonts w:ascii="Times New Roman" w:hAnsi="Times New Roman" w:cs="Times New Roman"/>
          <w:color w:val="000000"/>
          <w:sz w:val="20"/>
          <w:szCs w:val="20"/>
        </w:rPr>
        <w:t xml:space="preserve"> obtained from an external administrative source</w:t>
      </w:r>
      <w:r w:rsidR="00732A37">
        <w:rPr>
          <w:rFonts w:ascii="Times New Roman" w:hAnsi="Times New Roman" w:cs="Times New Roman"/>
          <w:color w:val="000000"/>
          <w:sz w:val="20"/>
          <w:szCs w:val="20"/>
        </w:rPr>
        <w:t xml:space="preserve">. Given this risk and the uncertainty surrounding both the quality of </w:t>
      </w:r>
      <w:r w:rsidR="00313994">
        <w:rPr>
          <w:rFonts w:ascii="Times New Roman" w:hAnsi="Times New Roman" w:cs="Times New Roman"/>
          <w:color w:val="000000"/>
          <w:sz w:val="20"/>
          <w:szCs w:val="20"/>
        </w:rPr>
        <w:t>available</w:t>
      </w:r>
      <w:r w:rsidR="00732A37">
        <w:rPr>
          <w:rFonts w:ascii="Times New Roman" w:hAnsi="Times New Roman" w:cs="Times New Roman"/>
          <w:color w:val="000000"/>
          <w:sz w:val="20"/>
          <w:szCs w:val="20"/>
        </w:rPr>
        <w:t xml:space="preserve"> administrative sources and the linkage mechanism,</w:t>
      </w:r>
      <w:r w:rsidR="00AA1E60">
        <w:rPr>
          <w:rFonts w:ascii="Times New Roman" w:hAnsi="Times New Roman" w:cs="Times New Roman"/>
          <w:color w:val="000000"/>
          <w:sz w:val="20"/>
          <w:szCs w:val="20"/>
        </w:rPr>
        <w:t xml:space="preserve"> </w:t>
      </w:r>
      <w:r w:rsidR="00D603E9">
        <w:rPr>
          <w:rFonts w:ascii="Times New Roman" w:hAnsi="Times New Roman" w:cs="Times New Roman"/>
          <w:color w:val="000000"/>
          <w:sz w:val="20"/>
          <w:szCs w:val="20"/>
        </w:rPr>
        <w:t>our</w:t>
      </w:r>
      <w:r w:rsidR="00AA1E60">
        <w:rPr>
          <w:rFonts w:ascii="Times New Roman" w:hAnsi="Times New Roman" w:cs="Times New Roman"/>
          <w:color w:val="000000"/>
          <w:sz w:val="20"/>
          <w:szCs w:val="20"/>
        </w:rPr>
        <w:t xml:space="preserve"> initial research has focused on the use of </w:t>
      </w:r>
      <w:r w:rsidR="00AA1E60">
        <w:rPr>
          <w:rFonts w:ascii="Times New Roman" w:hAnsi="Times New Roman" w:cs="Times New Roman"/>
          <w:color w:val="000000"/>
          <w:sz w:val="20"/>
          <w:szCs w:val="20"/>
        </w:rPr>
        <w:lastRenderedPageBreak/>
        <w:t>linked administrative data as auxiliary information within the conventional</w:t>
      </w:r>
      <w:r w:rsidR="00F438F7">
        <w:rPr>
          <w:rFonts w:ascii="Times New Roman" w:hAnsi="Times New Roman" w:cs="Times New Roman"/>
          <w:color w:val="000000"/>
          <w:sz w:val="20"/>
          <w:szCs w:val="20"/>
        </w:rPr>
        <w:t xml:space="preserve"> hot-</w:t>
      </w:r>
      <w:r w:rsidR="00AA1E60">
        <w:rPr>
          <w:rFonts w:ascii="Times New Roman" w:hAnsi="Times New Roman" w:cs="Times New Roman"/>
          <w:color w:val="000000"/>
          <w:sz w:val="20"/>
          <w:szCs w:val="20"/>
        </w:rPr>
        <w:t>de</w:t>
      </w:r>
      <w:r w:rsidR="00F438F7">
        <w:rPr>
          <w:rFonts w:ascii="Times New Roman" w:hAnsi="Times New Roman" w:cs="Times New Roman"/>
          <w:color w:val="000000"/>
          <w:sz w:val="20"/>
          <w:szCs w:val="20"/>
        </w:rPr>
        <w:t xml:space="preserve">ck approach already employed by </w:t>
      </w:r>
      <w:r w:rsidR="00AA1E60">
        <w:rPr>
          <w:rFonts w:ascii="Times New Roman" w:hAnsi="Times New Roman" w:cs="Times New Roman"/>
          <w:color w:val="000000"/>
          <w:sz w:val="20"/>
          <w:szCs w:val="20"/>
        </w:rPr>
        <w:t>ONS for imputation of census data.</w:t>
      </w:r>
    </w:p>
    <w:p w:rsidR="008966D9" w:rsidRDefault="008966D9" w:rsidP="00A510D3">
      <w:pPr>
        <w:spacing w:after="0" w:line="240" w:lineRule="auto"/>
        <w:rPr>
          <w:rFonts w:ascii="Times New Roman" w:hAnsi="Times New Roman" w:cs="Times New Roman"/>
          <w:color w:val="000000"/>
          <w:sz w:val="20"/>
          <w:szCs w:val="20"/>
        </w:rPr>
      </w:pPr>
    </w:p>
    <w:p w:rsidR="005425E6" w:rsidRDefault="005D7EB5" w:rsidP="00A510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aim of the research was to </w:t>
      </w:r>
      <w:r w:rsidR="002F1AA1">
        <w:rPr>
          <w:rFonts w:ascii="Times New Roman" w:hAnsi="Times New Roman" w:cs="Times New Roman"/>
          <w:color w:val="000000"/>
          <w:sz w:val="20"/>
          <w:szCs w:val="20"/>
        </w:rPr>
        <w:t>determine</w:t>
      </w:r>
      <w:r>
        <w:rPr>
          <w:rFonts w:ascii="Times New Roman" w:hAnsi="Times New Roman" w:cs="Times New Roman"/>
          <w:color w:val="000000"/>
          <w:sz w:val="20"/>
          <w:szCs w:val="20"/>
        </w:rPr>
        <w:t xml:space="preserve"> whether </w:t>
      </w:r>
      <w:r w:rsidR="008831BF">
        <w:rPr>
          <w:rFonts w:ascii="Times New Roman" w:hAnsi="Times New Roman" w:cs="Times New Roman"/>
          <w:color w:val="000000"/>
          <w:sz w:val="20"/>
          <w:szCs w:val="20"/>
        </w:rPr>
        <w:t xml:space="preserve">linked </w:t>
      </w:r>
      <w:r>
        <w:rPr>
          <w:rFonts w:ascii="Times New Roman" w:hAnsi="Times New Roman" w:cs="Times New Roman"/>
          <w:color w:val="000000"/>
          <w:sz w:val="20"/>
          <w:szCs w:val="20"/>
        </w:rPr>
        <w:t>administrative data c</w:t>
      </w:r>
      <w:r w:rsidR="00F62AE7">
        <w:rPr>
          <w:rFonts w:ascii="Times New Roman" w:hAnsi="Times New Roman" w:cs="Times New Roman"/>
          <w:color w:val="000000"/>
          <w:sz w:val="20"/>
          <w:szCs w:val="20"/>
        </w:rPr>
        <w:t>ould</w:t>
      </w:r>
      <w:r>
        <w:rPr>
          <w:rFonts w:ascii="Times New Roman" w:hAnsi="Times New Roman" w:cs="Times New Roman"/>
          <w:color w:val="000000"/>
          <w:sz w:val="20"/>
          <w:szCs w:val="20"/>
        </w:rPr>
        <w:t xml:space="preserve"> improve </w:t>
      </w:r>
      <w:r w:rsidR="00C96391">
        <w:rPr>
          <w:rFonts w:ascii="Times New Roman" w:hAnsi="Times New Roman" w:cs="Times New Roman"/>
          <w:color w:val="000000"/>
          <w:sz w:val="20"/>
          <w:szCs w:val="20"/>
        </w:rPr>
        <w:t xml:space="preserve">the accuracy of </w:t>
      </w:r>
      <w:r>
        <w:rPr>
          <w:rFonts w:ascii="Times New Roman" w:hAnsi="Times New Roman" w:cs="Times New Roman"/>
          <w:color w:val="000000"/>
          <w:sz w:val="20"/>
          <w:szCs w:val="20"/>
        </w:rPr>
        <w:t xml:space="preserve">imputation </w:t>
      </w:r>
      <w:r w:rsidR="00C96391">
        <w:rPr>
          <w:rFonts w:ascii="Times New Roman" w:hAnsi="Times New Roman" w:cs="Times New Roman"/>
          <w:color w:val="000000"/>
          <w:sz w:val="20"/>
          <w:szCs w:val="20"/>
        </w:rPr>
        <w:t>estimates for age</w:t>
      </w:r>
      <w:r w:rsidR="009F4011">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to </w:t>
      </w:r>
      <w:r w:rsidR="004550A0">
        <w:rPr>
          <w:rFonts w:ascii="Times New Roman" w:hAnsi="Times New Roman" w:cs="Times New Roman"/>
          <w:color w:val="000000"/>
          <w:sz w:val="20"/>
          <w:szCs w:val="20"/>
        </w:rPr>
        <w:t>gain some insight into</w:t>
      </w:r>
      <w:r w:rsidR="00251593">
        <w:rPr>
          <w:rFonts w:ascii="Times New Roman" w:hAnsi="Times New Roman" w:cs="Times New Roman"/>
          <w:color w:val="000000"/>
          <w:sz w:val="20"/>
          <w:szCs w:val="20"/>
        </w:rPr>
        <w:t xml:space="preserve"> </w:t>
      </w:r>
      <w:r w:rsidR="00F62AE7">
        <w:rPr>
          <w:rFonts w:ascii="Times New Roman" w:hAnsi="Times New Roman" w:cs="Times New Roman"/>
          <w:color w:val="000000"/>
          <w:sz w:val="20"/>
          <w:szCs w:val="20"/>
        </w:rPr>
        <w:t>the threshold</w:t>
      </w:r>
      <w:r w:rsidR="00F62AE7" w:rsidRPr="00606BB7">
        <w:rPr>
          <w:rFonts w:ascii="Times New Roman" w:hAnsi="Times New Roman" w:cs="Times New Roman"/>
          <w:sz w:val="20"/>
          <w:szCs w:val="20"/>
        </w:rPr>
        <w:t xml:space="preserve"> at which the degree of error in the administrati</w:t>
      </w:r>
      <w:r w:rsidR="00F62AE7">
        <w:rPr>
          <w:rFonts w:ascii="Times New Roman" w:hAnsi="Times New Roman" w:cs="Times New Roman"/>
          <w:sz w:val="20"/>
          <w:szCs w:val="20"/>
        </w:rPr>
        <w:t>ve</w:t>
      </w:r>
      <w:r w:rsidR="00F62AE7" w:rsidRPr="00606BB7">
        <w:rPr>
          <w:rFonts w:ascii="Times New Roman" w:hAnsi="Times New Roman" w:cs="Times New Roman"/>
          <w:sz w:val="20"/>
          <w:szCs w:val="20"/>
        </w:rPr>
        <w:t xml:space="preserve"> data leads to poorer performance than a conventional E&amp;I strategy</w:t>
      </w:r>
      <w:r w:rsidR="00F62AE7">
        <w:rPr>
          <w:rFonts w:ascii="Times New Roman" w:hAnsi="Times New Roman" w:cs="Times New Roman"/>
          <w:sz w:val="20"/>
          <w:szCs w:val="20"/>
        </w:rPr>
        <w:t xml:space="preserve">, with a view </w:t>
      </w:r>
      <w:r w:rsidR="00AD48AE">
        <w:rPr>
          <w:rFonts w:ascii="Times New Roman" w:hAnsi="Times New Roman" w:cs="Times New Roman"/>
          <w:sz w:val="20"/>
          <w:szCs w:val="20"/>
        </w:rPr>
        <w:t xml:space="preserve">to </w:t>
      </w:r>
      <w:r w:rsidR="00BD488E">
        <w:rPr>
          <w:rFonts w:ascii="Times New Roman" w:hAnsi="Times New Roman" w:cs="Times New Roman"/>
          <w:sz w:val="20"/>
          <w:szCs w:val="20"/>
        </w:rPr>
        <w:t xml:space="preserve">eventually </w:t>
      </w:r>
      <w:r w:rsidR="00F62AE7">
        <w:rPr>
          <w:rFonts w:ascii="Times New Roman" w:hAnsi="Times New Roman" w:cs="Times New Roman"/>
          <w:sz w:val="20"/>
          <w:szCs w:val="20"/>
        </w:rPr>
        <w:t xml:space="preserve">establishing some </w:t>
      </w:r>
      <w:r w:rsidR="00130FEE">
        <w:rPr>
          <w:rFonts w:ascii="Times New Roman" w:hAnsi="Times New Roman" w:cs="Times New Roman"/>
          <w:sz w:val="20"/>
          <w:szCs w:val="20"/>
        </w:rPr>
        <w:t>general</w:t>
      </w:r>
      <w:r w:rsidR="00F62AE7">
        <w:rPr>
          <w:rFonts w:ascii="Times New Roman" w:hAnsi="Times New Roman" w:cs="Times New Roman"/>
          <w:sz w:val="20"/>
          <w:szCs w:val="20"/>
        </w:rPr>
        <w:t xml:space="preserve"> principles</w:t>
      </w:r>
      <w:r w:rsidR="00F62AE7">
        <w:rPr>
          <w:rFonts w:ascii="Times New Roman" w:hAnsi="Times New Roman" w:cs="Times New Roman"/>
          <w:color w:val="000000"/>
          <w:sz w:val="20"/>
          <w:szCs w:val="20"/>
        </w:rPr>
        <w:t xml:space="preserve"> for </w:t>
      </w:r>
      <w:r>
        <w:rPr>
          <w:rFonts w:ascii="Times New Roman" w:hAnsi="Times New Roman" w:cs="Times New Roman"/>
          <w:color w:val="000000"/>
          <w:sz w:val="20"/>
          <w:szCs w:val="20"/>
        </w:rPr>
        <w:t>the</w:t>
      </w:r>
      <w:r w:rsidR="001A5482">
        <w:rPr>
          <w:rFonts w:ascii="Times New Roman" w:hAnsi="Times New Roman" w:cs="Times New Roman"/>
          <w:color w:val="000000"/>
          <w:sz w:val="20"/>
          <w:szCs w:val="20"/>
        </w:rPr>
        <w:t xml:space="preserve"> use and</w:t>
      </w:r>
      <w:r>
        <w:rPr>
          <w:rFonts w:ascii="Times New Roman" w:hAnsi="Times New Roman" w:cs="Times New Roman"/>
          <w:color w:val="000000"/>
          <w:sz w:val="20"/>
          <w:szCs w:val="20"/>
        </w:rPr>
        <w:t xml:space="preserve"> </w:t>
      </w:r>
      <w:r w:rsidR="00564A03">
        <w:rPr>
          <w:rFonts w:ascii="Times New Roman" w:hAnsi="Times New Roman" w:cs="Times New Roman"/>
          <w:color w:val="000000"/>
          <w:sz w:val="20"/>
          <w:szCs w:val="20"/>
        </w:rPr>
        <w:t>evaluation of</w:t>
      </w:r>
      <w:r w:rsidR="0025159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administrative </w:t>
      </w:r>
      <w:r w:rsidR="001412FE">
        <w:rPr>
          <w:rFonts w:ascii="Times New Roman" w:hAnsi="Times New Roman" w:cs="Times New Roman"/>
          <w:color w:val="000000"/>
          <w:sz w:val="20"/>
          <w:szCs w:val="20"/>
        </w:rPr>
        <w:t>sources</w:t>
      </w:r>
      <w:r w:rsidR="000A7667">
        <w:rPr>
          <w:rFonts w:ascii="Times New Roman" w:hAnsi="Times New Roman" w:cs="Times New Roman"/>
          <w:color w:val="000000"/>
          <w:sz w:val="20"/>
          <w:szCs w:val="20"/>
        </w:rPr>
        <w:t xml:space="preserve"> </w:t>
      </w:r>
      <w:r w:rsidR="00313994">
        <w:rPr>
          <w:rFonts w:ascii="Times New Roman" w:hAnsi="Times New Roman" w:cs="Times New Roman"/>
          <w:color w:val="000000"/>
          <w:sz w:val="20"/>
          <w:szCs w:val="20"/>
        </w:rPr>
        <w:t>in</w:t>
      </w:r>
      <w:r w:rsidR="000A7667">
        <w:rPr>
          <w:rFonts w:ascii="Times New Roman" w:hAnsi="Times New Roman" w:cs="Times New Roman"/>
          <w:color w:val="000000"/>
          <w:sz w:val="20"/>
          <w:szCs w:val="20"/>
        </w:rPr>
        <w:t xml:space="preserve"> the 2021 UK Census</w:t>
      </w:r>
      <w:r w:rsidR="006C2DDC">
        <w:rPr>
          <w:rFonts w:ascii="Times New Roman" w:hAnsi="Times New Roman" w:cs="Times New Roman"/>
          <w:color w:val="000000"/>
          <w:sz w:val="20"/>
          <w:szCs w:val="20"/>
        </w:rPr>
        <w:t>.</w:t>
      </w:r>
    </w:p>
    <w:p w:rsidR="005425E6" w:rsidRDefault="005425E6" w:rsidP="00A510D3">
      <w:pPr>
        <w:spacing w:after="0" w:line="240" w:lineRule="auto"/>
        <w:rPr>
          <w:rFonts w:ascii="Times New Roman" w:hAnsi="Times New Roman" w:cs="Times New Roman"/>
          <w:color w:val="000000"/>
          <w:sz w:val="20"/>
          <w:szCs w:val="20"/>
        </w:rPr>
      </w:pPr>
    </w:p>
    <w:p w:rsidR="008751B7" w:rsidRDefault="000D7CA9" w:rsidP="00A510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Here we present findings of some preliminary work based on</w:t>
      </w:r>
      <w:r w:rsidR="00872F53">
        <w:rPr>
          <w:rFonts w:ascii="Times New Roman" w:hAnsi="Times New Roman" w:cs="Times New Roman"/>
          <w:color w:val="000000"/>
          <w:sz w:val="20"/>
          <w:szCs w:val="20"/>
        </w:rPr>
        <w:t xml:space="preserve"> 2011 UK Census data</w:t>
      </w:r>
      <w:r w:rsidR="00760267">
        <w:rPr>
          <w:rFonts w:ascii="Times New Roman" w:hAnsi="Times New Roman" w:cs="Times New Roman"/>
          <w:color w:val="000000"/>
          <w:sz w:val="20"/>
          <w:szCs w:val="20"/>
        </w:rPr>
        <w:t>,</w:t>
      </w:r>
      <w:r w:rsidR="008751B7">
        <w:rPr>
          <w:rFonts w:ascii="Times New Roman" w:hAnsi="Times New Roman" w:cs="Times New Roman"/>
          <w:color w:val="000000"/>
          <w:sz w:val="20"/>
          <w:szCs w:val="20"/>
        </w:rPr>
        <w:t xml:space="preserve"> aimed</w:t>
      </w:r>
      <w:r>
        <w:rPr>
          <w:rFonts w:ascii="Times New Roman" w:hAnsi="Times New Roman" w:cs="Times New Roman"/>
          <w:color w:val="000000"/>
          <w:sz w:val="20"/>
          <w:szCs w:val="20"/>
        </w:rPr>
        <w:t xml:space="preserve"> at </w:t>
      </w:r>
      <w:r w:rsidR="005B7348">
        <w:rPr>
          <w:rFonts w:ascii="Times New Roman" w:hAnsi="Times New Roman" w:cs="Times New Roman"/>
          <w:color w:val="000000"/>
          <w:sz w:val="20"/>
          <w:szCs w:val="20"/>
        </w:rPr>
        <w:t>evaluating the differences between</w:t>
      </w:r>
      <w:r>
        <w:rPr>
          <w:rFonts w:ascii="Times New Roman" w:hAnsi="Times New Roman" w:cs="Times New Roman"/>
          <w:color w:val="000000"/>
          <w:sz w:val="20"/>
          <w:szCs w:val="20"/>
        </w:rPr>
        <w:t xml:space="preserve"> imputat</w:t>
      </w:r>
      <w:r w:rsidR="005B7348">
        <w:rPr>
          <w:rFonts w:ascii="Times New Roman" w:hAnsi="Times New Roman" w:cs="Times New Roman"/>
          <w:color w:val="000000"/>
          <w:sz w:val="20"/>
          <w:szCs w:val="20"/>
        </w:rPr>
        <w:t>ion estimates</w:t>
      </w:r>
      <w:r w:rsidR="00A421E2">
        <w:rPr>
          <w:rFonts w:ascii="Times New Roman" w:hAnsi="Times New Roman" w:cs="Times New Roman"/>
          <w:color w:val="000000"/>
          <w:sz w:val="20"/>
          <w:szCs w:val="20"/>
        </w:rPr>
        <w:t xml:space="preserve"> </w:t>
      </w:r>
      <w:r w:rsidR="00F527E3">
        <w:rPr>
          <w:rFonts w:ascii="Times New Roman" w:hAnsi="Times New Roman" w:cs="Times New Roman"/>
          <w:color w:val="000000"/>
          <w:sz w:val="20"/>
          <w:szCs w:val="20"/>
        </w:rPr>
        <w:t xml:space="preserve">obtained by </w:t>
      </w:r>
      <w:r w:rsidR="00144727">
        <w:rPr>
          <w:rFonts w:ascii="Times New Roman" w:hAnsi="Times New Roman" w:cs="Times New Roman"/>
          <w:color w:val="000000"/>
          <w:sz w:val="20"/>
          <w:szCs w:val="20"/>
        </w:rPr>
        <w:t>using</w:t>
      </w:r>
      <w:r w:rsidR="005B7348">
        <w:rPr>
          <w:rFonts w:ascii="Times New Roman" w:hAnsi="Times New Roman" w:cs="Times New Roman"/>
          <w:color w:val="000000"/>
          <w:sz w:val="20"/>
          <w:szCs w:val="20"/>
        </w:rPr>
        <w:t xml:space="preserve"> a donor based imputation strategy </w:t>
      </w:r>
      <w:r>
        <w:rPr>
          <w:rFonts w:ascii="Times New Roman" w:hAnsi="Times New Roman" w:cs="Times New Roman"/>
          <w:color w:val="000000"/>
          <w:sz w:val="20"/>
          <w:szCs w:val="20"/>
        </w:rPr>
        <w:t>that includes</w:t>
      </w:r>
      <w:r w:rsidR="00B93490">
        <w:rPr>
          <w:rFonts w:ascii="Times New Roman" w:hAnsi="Times New Roman" w:cs="Times New Roman"/>
          <w:color w:val="000000"/>
          <w:sz w:val="20"/>
          <w:szCs w:val="20"/>
        </w:rPr>
        <w:t xml:space="preserve"> synthetic administrative data </w:t>
      </w:r>
      <w:r w:rsidR="00C64369">
        <w:rPr>
          <w:rFonts w:ascii="Times New Roman" w:hAnsi="Times New Roman" w:cs="Times New Roman"/>
          <w:color w:val="000000"/>
          <w:sz w:val="20"/>
          <w:szCs w:val="20"/>
        </w:rPr>
        <w:t>as auxiliary information</w:t>
      </w:r>
      <w:r w:rsidR="007B3A0B">
        <w:rPr>
          <w:rFonts w:ascii="Times New Roman" w:hAnsi="Times New Roman" w:cs="Times New Roman"/>
          <w:color w:val="000000"/>
          <w:sz w:val="20"/>
          <w:szCs w:val="20"/>
        </w:rPr>
        <w:t xml:space="preserve"> in the form of an ‘admin age’ variable</w:t>
      </w:r>
      <w:r w:rsidR="00517473">
        <w:rPr>
          <w:rFonts w:ascii="Times New Roman" w:hAnsi="Times New Roman" w:cs="Times New Roman"/>
          <w:color w:val="000000"/>
          <w:sz w:val="20"/>
          <w:szCs w:val="20"/>
        </w:rPr>
        <w:t xml:space="preserve"> linked to each census record</w:t>
      </w:r>
      <w:r w:rsidR="00C64369">
        <w:rPr>
          <w:rFonts w:ascii="Times New Roman" w:hAnsi="Times New Roman" w:cs="Times New Roman"/>
          <w:color w:val="000000"/>
          <w:sz w:val="20"/>
          <w:szCs w:val="20"/>
        </w:rPr>
        <w:t xml:space="preserve">, </w:t>
      </w:r>
      <w:r w:rsidR="00B93490">
        <w:rPr>
          <w:rFonts w:ascii="Times New Roman" w:hAnsi="Times New Roman" w:cs="Times New Roman"/>
          <w:color w:val="000000"/>
          <w:sz w:val="20"/>
          <w:szCs w:val="20"/>
        </w:rPr>
        <w:t>compared with</w:t>
      </w:r>
      <w:r w:rsidR="00C64369">
        <w:rPr>
          <w:rFonts w:ascii="Times New Roman" w:hAnsi="Times New Roman" w:cs="Times New Roman"/>
          <w:color w:val="000000"/>
          <w:sz w:val="20"/>
          <w:szCs w:val="20"/>
        </w:rPr>
        <w:t xml:space="preserve"> the conventional approach as used for the 2011 UK Census</w:t>
      </w:r>
      <w:r w:rsidR="005B7348">
        <w:rPr>
          <w:rFonts w:ascii="Times New Roman" w:hAnsi="Times New Roman" w:cs="Times New Roman"/>
          <w:color w:val="000000"/>
          <w:sz w:val="20"/>
          <w:szCs w:val="20"/>
        </w:rPr>
        <w:t>.</w:t>
      </w:r>
    </w:p>
    <w:p w:rsidR="008751B7" w:rsidRDefault="008751B7" w:rsidP="00A510D3">
      <w:pPr>
        <w:spacing w:after="0" w:line="240" w:lineRule="auto"/>
        <w:rPr>
          <w:rFonts w:ascii="Times New Roman" w:hAnsi="Times New Roman" w:cs="Times New Roman"/>
          <w:color w:val="000000"/>
          <w:sz w:val="20"/>
          <w:szCs w:val="20"/>
        </w:rPr>
      </w:pPr>
    </w:p>
    <w:p w:rsidR="00E16242" w:rsidRDefault="00B93490" w:rsidP="00A510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analysis focuses</w:t>
      </w:r>
      <w:r w:rsidR="002073A0">
        <w:rPr>
          <w:rFonts w:ascii="Times New Roman" w:hAnsi="Times New Roman" w:cs="Times New Roman"/>
          <w:color w:val="000000"/>
          <w:sz w:val="20"/>
          <w:szCs w:val="20"/>
        </w:rPr>
        <w:t xml:space="preserve"> on </w:t>
      </w:r>
      <w:r w:rsidR="003B6776">
        <w:rPr>
          <w:rFonts w:ascii="Times New Roman" w:hAnsi="Times New Roman" w:cs="Times New Roman"/>
          <w:color w:val="000000"/>
          <w:sz w:val="20"/>
          <w:szCs w:val="20"/>
        </w:rPr>
        <w:t>assessing</w:t>
      </w:r>
      <w:r w:rsidR="00982B5D">
        <w:rPr>
          <w:rFonts w:ascii="Times New Roman" w:hAnsi="Times New Roman" w:cs="Times New Roman"/>
          <w:color w:val="000000"/>
          <w:sz w:val="20"/>
          <w:szCs w:val="20"/>
        </w:rPr>
        <w:t xml:space="preserve"> the</w:t>
      </w:r>
      <w:r w:rsidR="003B6776">
        <w:rPr>
          <w:rFonts w:ascii="Times New Roman" w:hAnsi="Times New Roman" w:cs="Times New Roman"/>
          <w:color w:val="000000"/>
          <w:sz w:val="20"/>
          <w:szCs w:val="20"/>
        </w:rPr>
        <w:t xml:space="preserve"> predictive and distributional accuracy</w:t>
      </w:r>
      <w:r w:rsidR="00EE5A1A">
        <w:rPr>
          <w:rFonts w:ascii="Times New Roman" w:hAnsi="Times New Roman" w:cs="Times New Roman"/>
          <w:color w:val="000000"/>
          <w:sz w:val="20"/>
          <w:szCs w:val="20"/>
        </w:rPr>
        <w:t xml:space="preserve"> (Chambers, 2001)</w:t>
      </w:r>
      <w:r w:rsidR="003B6776">
        <w:rPr>
          <w:rFonts w:ascii="Times New Roman" w:hAnsi="Times New Roman" w:cs="Times New Roman"/>
          <w:color w:val="000000"/>
          <w:sz w:val="20"/>
          <w:szCs w:val="20"/>
        </w:rPr>
        <w:t xml:space="preserve"> of the imputation estimates for </w:t>
      </w:r>
      <w:r>
        <w:rPr>
          <w:rFonts w:ascii="Times New Roman" w:hAnsi="Times New Roman" w:cs="Times New Roman"/>
          <w:color w:val="000000"/>
          <w:sz w:val="20"/>
          <w:szCs w:val="20"/>
        </w:rPr>
        <w:t xml:space="preserve">one ‘typical’ </w:t>
      </w:r>
      <w:r w:rsidR="00B45FF9">
        <w:rPr>
          <w:rFonts w:ascii="Times New Roman" w:hAnsi="Times New Roman" w:cs="Times New Roman"/>
          <w:color w:val="000000"/>
          <w:sz w:val="20"/>
          <w:szCs w:val="20"/>
        </w:rPr>
        <w:t xml:space="preserve">Census </w:t>
      </w:r>
      <w:r>
        <w:rPr>
          <w:rFonts w:ascii="Times New Roman" w:hAnsi="Times New Roman" w:cs="Times New Roman"/>
          <w:color w:val="000000"/>
          <w:sz w:val="20"/>
          <w:szCs w:val="20"/>
        </w:rPr>
        <w:t>delivery group</w:t>
      </w:r>
      <w:r w:rsidR="00ED66B7">
        <w:rPr>
          <w:rFonts w:ascii="Times New Roman" w:hAnsi="Times New Roman" w:cs="Times New Roman"/>
          <w:color w:val="000000"/>
          <w:sz w:val="20"/>
          <w:szCs w:val="20"/>
        </w:rPr>
        <w:t xml:space="preserve"> </w:t>
      </w:r>
      <w:r w:rsidR="00313994">
        <w:rPr>
          <w:rFonts w:ascii="Times New Roman" w:hAnsi="Times New Roman" w:cs="Times New Roman"/>
          <w:color w:val="000000"/>
          <w:sz w:val="20"/>
          <w:szCs w:val="20"/>
        </w:rPr>
        <w:t>that</w:t>
      </w:r>
      <w:r w:rsidR="00ED66B7">
        <w:rPr>
          <w:rFonts w:ascii="Times New Roman" w:hAnsi="Times New Roman" w:cs="Times New Roman"/>
          <w:color w:val="000000"/>
          <w:sz w:val="20"/>
          <w:szCs w:val="20"/>
        </w:rPr>
        <w:t xml:space="preserve"> had age randomly perturbed for 5% of records</w:t>
      </w:r>
      <w:r w:rsidR="00106268">
        <w:rPr>
          <w:rFonts w:ascii="Times New Roman" w:hAnsi="Times New Roman" w:cs="Times New Roman"/>
          <w:color w:val="000000"/>
          <w:sz w:val="20"/>
          <w:szCs w:val="20"/>
        </w:rPr>
        <w:t xml:space="preserve"> and was imputed under the following conditions: no </w:t>
      </w:r>
      <w:r w:rsidR="004A3C10">
        <w:rPr>
          <w:rFonts w:ascii="Times New Roman" w:hAnsi="Times New Roman" w:cs="Times New Roman"/>
          <w:color w:val="000000"/>
          <w:sz w:val="20"/>
          <w:szCs w:val="20"/>
        </w:rPr>
        <w:t xml:space="preserve">administrative </w:t>
      </w:r>
      <w:r w:rsidR="00106268">
        <w:rPr>
          <w:rFonts w:ascii="Times New Roman" w:hAnsi="Times New Roman" w:cs="Times New Roman"/>
          <w:color w:val="000000"/>
          <w:sz w:val="20"/>
          <w:szCs w:val="20"/>
        </w:rPr>
        <w:t>data</w:t>
      </w:r>
      <w:r w:rsidR="007B3A0B">
        <w:rPr>
          <w:rFonts w:ascii="Times New Roman" w:hAnsi="Times New Roman" w:cs="Times New Roman"/>
          <w:color w:val="000000"/>
          <w:sz w:val="20"/>
          <w:szCs w:val="20"/>
        </w:rPr>
        <w:t xml:space="preserve"> (2011 Census approach)</w:t>
      </w:r>
      <w:r w:rsidR="0059345E">
        <w:rPr>
          <w:rFonts w:ascii="Times New Roman" w:hAnsi="Times New Roman" w:cs="Times New Roman"/>
          <w:color w:val="000000"/>
          <w:sz w:val="20"/>
          <w:szCs w:val="20"/>
        </w:rPr>
        <w:t xml:space="preserve">, </w:t>
      </w:r>
      <w:r w:rsidR="00106268">
        <w:rPr>
          <w:rFonts w:ascii="Times New Roman" w:hAnsi="Times New Roman" w:cs="Times New Roman"/>
          <w:color w:val="000000"/>
          <w:sz w:val="20"/>
          <w:szCs w:val="20"/>
        </w:rPr>
        <w:t xml:space="preserve">exact </w:t>
      </w:r>
      <w:r w:rsidR="004A3C10">
        <w:rPr>
          <w:rFonts w:ascii="Times New Roman" w:hAnsi="Times New Roman" w:cs="Times New Roman"/>
          <w:color w:val="000000"/>
          <w:sz w:val="20"/>
          <w:szCs w:val="20"/>
        </w:rPr>
        <w:t xml:space="preserve">administrative </w:t>
      </w:r>
      <w:r w:rsidR="00106268">
        <w:rPr>
          <w:rFonts w:ascii="Times New Roman" w:hAnsi="Times New Roman" w:cs="Times New Roman"/>
          <w:color w:val="000000"/>
          <w:sz w:val="20"/>
          <w:szCs w:val="20"/>
        </w:rPr>
        <w:t xml:space="preserve">data, </w:t>
      </w:r>
      <w:r w:rsidR="004A3C10">
        <w:rPr>
          <w:rFonts w:ascii="Times New Roman" w:hAnsi="Times New Roman" w:cs="Times New Roman"/>
          <w:color w:val="000000"/>
          <w:sz w:val="20"/>
          <w:szCs w:val="20"/>
        </w:rPr>
        <w:t xml:space="preserve">administrative </w:t>
      </w:r>
      <w:r w:rsidR="00BE5055">
        <w:rPr>
          <w:rFonts w:ascii="Times New Roman" w:hAnsi="Times New Roman" w:cs="Times New Roman"/>
          <w:color w:val="000000"/>
          <w:sz w:val="20"/>
          <w:szCs w:val="20"/>
        </w:rPr>
        <w:t xml:space="preserve">data with </w:t>
      </w:r>
      <w:r w:rsidR="00106268">
        <w:rPr>
          <w:rFonts w:ascii="Times New Roman" w:hAnsi="Times New Roman" w:cs="Times New Roman"/>
          <w:color w:val="000000"/>
          <w:sz w:val="20"/>
          <w:szCs w:val="20"/>
        </w:rPr>
        <w:t>+/-3 years</w:t>
      </w:r>
      <w:r w:rsidR="00BE5055">
        <w:rPr>
          <w:rFonts w:ascii="Times New Roman" w:hAnsi="Times New Roman" w:cs="Times New Roman"/>
          <w:color w:val="000000"/>
          <w:sz w:val="20"/>
          <w:szCs w:val="20"/>
        </w:rPr>
        <w:t xml:space="preserve"> </w:t>
      </w:r>
      <w:r w:rsidR="00106268">
        <w:rPr>
          <w:rFonts w:ascii="Times New Roman" w:hAnsi="Times New Roman" w:cs="Times New Roman"/>
          <w:color w:val="000000"/>
          <w:sz w:val="20"/>
          <w:szCs w:val="20"/>
        </w:rPr>
        <w:t xml:space="preserve">error, </w:t>
      </w:r>
      <w:r w:rsidR="004A3C10">
        <w:rPr>
          <w:rFonts w:ascii="Times New Roman" w:hAnsi="Times New Roman" w:cs="Times New Roman"/>
          <w:color w:val="000000"/>
          <w:sz w:val="20"/>
          <w:szCs w:val="20"/>
        </w:rPr>
        <w:t xml:space="preserve">administrative </w:t>
      </w:r>
      <w:r w:rsidR="00BE5055">
        <w:rPr>
          <w:rFonts w:ascii="Times New Roman" w:hAnsi="Times New Roman" w:cs="Times New Roman"/>
          <w:color w:val="000000"/>
          <w:sz w:val="20"/>
          <w:szCs w:val="20"/>
        </w:rPr>
        <w:t xml:space="preserve">data with </w:t>
      </w:r>
      <w:r w:rsidR="00106268">
        <w:rPr>
          <w:rFonts w:ascii="Times New Roman" w:hAnsi="Times New Roman" w:cs="Times New Roman"/>
          <w:color w:val="000000"/>
          <w:sz w:val="20"/>
          <w:szCs w:val="20"/>
        </w:rPr>
        <w:t xml:space="preserve">+/-6 years error, </w:t>
      </w:r>
      <w:r w:rsidR="004A3C10">
        <w:rPr>
          <w:rFonts w:ascii="Times New Roman" w:hAnsi="Times New Roman" w:cs="Times New Roman"/>
          <w:color w:val="000000"/>
          <w:sz w:val="20"/>
          <w:szCs w:val="20"/>
        </w:rPr>
        <w:t xml:space="preserve">administrative </w:t>
      </w:r>
      <w:r w:rsidR="00BE5055">
        <w:rPr>
          <w:rFonts w:ascii="Times New Roman" w:hAnsi="Times New Roman" w:cs="Times New Roman"/>
          <w:color w:val="000000"/>
          <w:sz w:val="20"/>
          <w:szCs w:val="20"/>
        </w:rPr>
        <w:t xml:space="preserve">data with </w:t>
      </w:r>
      <w:r w:rsidR="00106268">
        <w:rPr>
          <w:rFonts w:ascii="Times New Roman" w:hAnsi="Times New Roman" w:cs="Times New Roman"/>
          <w:color w:val="000000"/>
          <w:sz w:val="20"/>
          <w:szCs w:val="20"/>
        </w:rPr>
        <w:t>+/-12 years error</w:t>
      </w:r>
      <w:r w:rsidR="00C64369">
        <w:rPr>
          <w:rFonts w:ascii="Times New Roman" w:hAnsi="Times New Roman" w:cs="Times New Roman"/>
          <w:color w:val="000000"/>
          <w:sz w:val="20"/>
          <w:szCs w:val="20"/>
        </w:rPr>
        <w:t>, and finally</w:t>
      </w:r>
      <w:r w:rsidR="00BE5055">
        <w:rPr>
          <w:rFonts w:ascii="Times New Roman" w:hAnsi="Times New Roman" w:cs="Times New Roman"/>
          <w:color w:val="000000"/>
          <w:sz w:val="20"/>
          <w:szCs w:val="20"/>
        </w:rPr>
        <w:t>,</w:t>
      </w:r>
      <w:r w:rsidR="00513FBA">
        <w:rPr>
          <w:rFonts w:ascii="Times New Roman" w:hAnsi="Times New Roman" w:cs="Times New Roman"/>
          <w:color w:val="000000"/>
          <w:sz w:val="20"/>
          <w:szCs w:val="20"/>
        </w:rPr>
        <w:t xml:space="preserve"> </w:t>
      </w:r>
      <w:r w:rsidR="004A3C10">
        <w:rPr>
          <w:rFonts w:ascii="Times New Roman" w:hAnsi="Times New Roman" w:cs="Times New Roman"/>
          <w:color w:val="000000"/>
          <w:sz w:val="20"/>
          <w:szCs w:val="20"/>
        </w:rPr>
        <w:t xml:space="preserve">administrative </w:t>
      </w:r>
      <w:r w:rsidR="00BE5055">
        <w:rPr>
          <w:rFonts w:ascii="Times New Roman" w:hAnsi="Times New Roman" w:cs="Times New Roman"/>
          <w:color w:val="000000"/>
          <w:sz w:val="20"/>
          <w:szCs w:val="20"/>
        </w:rPr>
        <w:t xml:space="preserve">data </w:t>
      </w:r>
      <w:r w:rsidR="00C64369">
        <w:rPr>
          <w:rFonts w:ascii="Times New Roman" w:hAnsi="Times New Roman" w:cs="Times New Roman"/>
          <w:color w:val="000000"/>
          <w:sz w:val="20"/>
          <w:szCs w:val="20"/>
        </w:rPr>
        <w:t>using observed error dis</w:t>
      </w:r>
      <w:r w:rsidR="00F527E3">
        <w:rPr>
          <w:rFonts w:ascii="Times New Roman" w:hAnsi="Times New Roman" w:cs="Times New Roman"/>
          <w:color w:val="000000"/>
          <w:sz w:val="20"/>
          <w:szCs w:val="20"/>
        </w:rPr>
        <w:t>tributions</w:t>
      </w:r>
      <w:r w:rsidR="00C64369">
        <w:rPr>
          <w:rFonts w:ascii="Times New Roman" w:hAnsi="Times New Roman" w:cs="Times New Roman"/>
          <w:color w:val="000000"/>
          <w:sz w:val="20"/>
          <w:szCs w:val="20"/>
        </w:rPr>
        <w:t xml:space="preserve"> from two real administrative datasets.</w:t>
      </w:r>
    </w:p>
    <w:p w:rsidR="002073A0" w:rsidRDefault="002073A0" w:rsidP="00A510D3">
      <w:pPr>
        <w:spacing w:after="0" w:line="240" w:lineRule="auto"/>
        <w:rPr>
          <w:rFonts w:ascii="Times New Roman" w:hAnsi="Times New Roman" w:cs="Times New Roman"/>
          <w:color w:val="000000"/>
          <w:sz w:val="20"/>
          <w:szCs w:val="20"/>
        </w:rPr>
      </w:pPr>
    </w:p>
    <w:p w:rsidR="007D4D81" w:rsidRDefault="00760267" w:rsidP="00A510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Demographic d</w:t>
      </w:r>
      <w:r w:rsidR="002F14C6">
        <w:rPr>
          <w:rFonts w:ascii="Times New Roman" w:hAnsi="Times New Roman" w:cs="Times New Roman"/>
          <w:color w:val="000000"/>
          <w:sz w:val="20"/>
          <w:szCs w:val="20"/>
        </w:rPr>
        <w:t>ata</w:t>
      </w:r>
      <w:r w:rsidR="00925D8D">
        <w:rPr>
          <w:rFonts w:ascii="Times New Roman" w:hAnsi="Times New Roman" w:cs="Times New Roman"/>
          <w:color w:val="000000"/>
          <w:sz w:val="20"/>
          <w:szCs w:val="20"/>
        </w:rPr>
        <w:t xml:space="preserve"> for </w:t>
      </w:r>
      <w:r w:rsidR="00A36789">
        <w:rPr>
          <w:rFonts w:ascii="Times New Roman" w:hAnsi="Times New Roman" w:cs="Times New Roman"/>
          <w:color w:val="000000"/>
          <w:sz w:val="20"/>
          <w:szCs w:val="20"/>
        </w:rPr>
        <w:t>households containing 1 to 6 people</w:t>
      </w:r>
      <w:r w:rsidR="002F14C6">
        <w:rPr>
          <w:rFonts w:ascii="Times New Roman" w:hAnsi="Times New Roman" w:cs="Times New Roman"/>
          <w:color w:val="000000"/>
          <w:sz w:val="20"/>
          <w:szCs w:val="20"/>
        </w:rPr>
        <w:t xml:space="preserve"> were used</w:t>
      </w:r>
      <w:r w:rsidR="008831BF">
        <w:rPr>
          <w:rFonts w:ascii="Times New Roman" w:hAnsi="Times New Roman" w:cs="Times New Roman"/>
          <w:color w:val="000000"/>
          <w:sz w:val="20"/>
          <w:szCs w:val="20"/>
        </w:rPr>
        <w:t xml:space="preserve">, with </w:t>
      </w:r>
      <w:r w:rsidR="00F82442">
        <w:rPr>
          <w:rFonts w:ascii="Times New Roman" w:hAnsi="Times New Roman" w:cs="Times New Roman"/>
          <w:color w:val="000000"/>
          <w:sz w:val="20"/>
          <w:szCs w:val="20"/>
        </w:rPr>
        <w:t xml:space="preserve">the </w:t>
      </w:r>
      <w:r w:rsidR="008831BF">
        <w:rPr>
          <w:rFonts w:ascii="Times New Roman" w:hAnsi="Times New Roman" w:cs="Times New Roman"/>
          <w:color w:val="000000"/>
          <w:sz w:val="20"/>
          <w:szCs w:val="20"/>
        </w:rPr>
        <w:t>age</w:t>
      </w:r>
      <w:r w:rsidR="00F82442">
        <w:rPr>
          <w:rFonts w:ascii="Times New Roman" w:hAnsi="Times New Roman" w:cs="Times New Roman"/>
          <w:color w:val="000000"/>
          <w:sz w:val="20"/>
          <w:szCs w:val="20"/>
        </w:rPr>
        <w:t xml:space="preserve"> variable</w:t>
      </w:r>
      <w:r w:rsidR="008831BF">
        <w:rPr>
          <w:rFonts w:ascii="Times New Roman" w:hAnsi="Times New Roman" w:cs="Times New Roman"/>
          <w:color w:val="000000"/>
          <w:sz w:val="20"/>
          <w:szCs w:val="20"/>
        </w:rPr>
        <w:t xml:space="preserve"> imputed </w:t>
      </w:r>
      <w:r w:rsidR="000878DB">
        <w:rPr>
          <w:rFonts w:ascii="Times New Roman" w:hAnsi="Times New Roman" w:cs="Times New Roman"/>
          <w:color w:val="000000"/>
          <w:sz w:val="20"/>
          <w:szCs w:val="20"/>
        </w:rPr>
        <w:t>using the</w:t>
      </w:r>
      <w:r w:rsidR="008831BF">
        <w:rPr>
          <w:rFonts w:ascii="Times New Roman" w:hAnsi="Times New Roman" w:cs="Times New Roman"/>
          <w:color w:val="000000"/>
          <w:sz w:val="20"/>
          <w:szCs w:val="20"/>
        </w:rPr>
        <w:t xml:space="preserve"> 2011 UK Census </w:t>
      </w:r>
      <w:r w:rsidR="00093B1D">
        <w:rPr>
          <w:rFonts w:ascii="Times New Roman" w:hAnsi="Times New Roman" w:cs="Times New Roman"/>
          <w:color w:val="000000"/>
          <w:sz w:val="20"/>
          <w:szCs w:val="20"/>
        </w:rPr>
        <w:t>imputation m</w:t>
      </w:r>
      <w:r w:rsidR="00BE0F9B">
        <w:rPr>
          <w:rFonts w:ascii="Times New Roman" w:hAnsi="Times New Roman" w:cs="Times New Roman"/>
          <w:color w:val="000000"/>
          <w:sz w:val="20"/>
          <w:szCs w:val="20"/>
        </w:rPr>
        <w:t>odel</w:t>
      </w:r>
      <w:r w:rsidR="00713459">
        <w:rPr>
          <w:rFonts w:ascii="Times New Roman" w:hAnsi="Times New Roman" w:cs="Times New Roman"/>
          <w:color w:val="000000"/>
          <w:sz w:val="20"/>
          <w:szCs w:val="20"/>
        </w:rPr>
        <w:t xml:space="preserve"> implemented in CANCEIS</w:t>
      </w:r>
      <w:r w:rsidR="002F14C6">
        <w:rPr>
          <w:rFonts w:ascii="Times New Roman" w:hAnsi="Times New Roman" w:cs="Times New Roman"/>
          <w:color w:val="000000"/>
          <w:sz w:val="20"/>
          <w:szCs w:val="20"/>
        </w:rPr>
        <w:t>,</w:t>
      </w:r>
      <w:r w:rsidR="006D4DFD">
        <w:rPr>
          <w:rFonts w:ascii="Times New Roman" w:hAnsi="Times New Roman" w:cs="Times New Roman"/>
          <w:color w:val="000000"/>
          <w:sz w:val="20"/>
          <w:szCs w:val="20"/>
        </w:rPr>
        <w:t xml:space="preserve"> </w:t>
      </w:r>
      <w:r w:rsidR="00CB7DCF">
        <w:rPr>
          <w:rFonts w:ascii="Times New Roman" w:hAnsi="Times New Roman" w:cs="Times New Roman"/>
          <w:color w:val="000000"/>
          <w:sz w:val="20"/>
          <w:szCs w:val="20"/>
        </w:rPr>
        <w:t>which included</w:t>
      </w:r>
      <w:r w:rsidR="00BE0F9B">
        <w:rPr>
          <w:rFonts w:ascii="Times New Roman" w:hAnsi="Times New Roman" w:cs="Times New Roman"/>
          <w:color w:val="000000"/>
          <w:sz w:val="20"/>
          <w:szCs w:val="20"/>
        </w:rPr>
        <w:t xml:space="preserve"> the</w:t>
      </w:r>
      <w:r w:rsidR="00CB7DCF">
        <w:rPr>
          <w:rFonts w:ascii="Times New Roman" w:hAnsi="Times New Roman" w:cs="Times New Roman"/>
          <w:color w:val="000000"/>
          <w:sz w:val="20"/>
          <w:szCs w:val="20"/>
        </w:rPr>
        <w:t xml:space="preserve"> </w:t>
      </w:r>
      <w:r w:rsidR="002F14C6">
        <w:rPr>
          <w:rFonts w:ascii="Times New Roman" w:hAnsi="Times New Roman" w:cs="Times New Roman"/>
          <w:color w:val="000000"/>
          <w:sz w:val="20"/>
          <w:szCs w:val="20"/>
        </w:rPr>
        <w:t>matching</w:t>
      </w:r>
      <w:r w:rsidR="008831BF">
        <w:rPr>
          <w:rFonts w:ascii="Times New Roman" w:hAnsi="Times New Roman" w:cs="Times New Roman"/>
          <w:color w:val="000000"/>
          <w:sz w:val="20"/>
          <w:szCs w:val="20"/>
        </w:rPr>
        <w:t xml:space="preserve"> variables of</w:t>
      </w:r>
      <w:r w:rsidR="002F14C6">
        <w:rPr>
          <w:rFonts w:ascii="Times New Roman" w:hAnsi="Times New Roman" w:cs="Times New Roman"/>
          <w:color w:val="000000"/>
          <w:sz w:val="20"/>
          <w:szCs w:val="20"/>
        </w:rPr>
        <w:t>:</w:t>
      </w:r>
      <w:r w:rsidR="006D4DFD">
        <w:rPr>
          <w:rFonts w:ascii="Times New Roman" w:hAnsi="Times New Roman" w:cs="Times New Roman"/>
          <w:color w:val="000000"/>
          <w:sz w:val="20"/>
          <w:szCs w:val="20"/>
        </w:rPr>
        <w:t xml:space="preserve"> </w:t>
      </w:r>
      <w:r w:rsidR="000579D6">
        <w:rPr>
          <w:rFonts w:ascii="Times New Roman" w:hAnsi="Times New Roman" w:cs="Times New Roman"/>
          <w:color w:val="000000"/>
          <w:sz w:val="20"/>
          <w:szCs w:val="20"/>
        </w:rPr>
        <w:t>r</w:t>
      </w:r>
      <w:r w:rsidR="002F14C6">
        <w:rPr>
          <w:rFonts w:ascii="Times New Roman" w:hAnsi="Times New Roman" w:cs="Times New Roman"/>
          <w:color w:val="000000"/>
          <w:sz w:val="20"/>
          <w:szCs w:val="20"/>
        </w:rPr>
        <w:t xml:space="preserve">elationship to household person 1; </w:t>
      </w:r>
      <w:r w:rsidR="000579D6">
        <w:rPr>
          <w:rFonts w:ascii="Times New Roman" w:hAnsi="Times New Roman" w:cs="Times New Roman"/>
          <w:color w:val="000000"/>
          <w:sz w:val="20"/>
          <w:szCs w:val="20"/>
        </w:rPr>
        <w:t>s</w:t>
      </w:r>
      <w:r w:rsidR="006D4DFD">
        <w:rPr>
          <w:rFonts w:ascii="Times New Roman" w:hAnsi="Times New Roman" w:cs="Times New Roman"/>
          <w:color w:val="000000"/>
          <w:sz w:val="20"/>
          <w:szCs w:val="20"/>
        </w:rPr>
        <w:t xml:space="preserve">ex; </w:t>
      </w:r>
      <w:r w:rsidR="000579D6">
        <w:rPr>
          <w:rFonts w:ascii="Times New Roman" w:hAnsi="Times New Roman" w:cs="Times New Roman"/>
          <w:color w:val="000000"/>
          <w:sz w:val="20"/>
          <w:szCs w:val="20"/>
        </w:rPr>
        <w:t>m</w:t>
      </w:r>
      <w:r w:rsidR="006D4DFD">
        <w:rPr>
          <w:rFonts w:ascii="Times New Roman" w:hAnsi="Times New Roman" w:cs="Times New Roman"/>
          <w:color w:val="000000"/>
          <w:sz w:val="20"/>
          <w:szCs w:val="20"/>
        </w:rPr>
        <w:t>arital s</w:t>
      </w:r>
      <w:r w:rsidR="00E16242">
        <w:rPr>
          <w:rFonts w:ascii="Times New Roman" w:hAnsi="Times New Roman" w:cs="Times New Roman"/>
          <w:color w:val="000000"/>
          <w:sz w:val="20"/>
          <w:szCs w:val="20"/>
        </w:rPr>
        <w:t>tatus;</w:t>
      </w:r>
      <w:r w:rsidR="0025118D">
        <w:rPr>
          <w:rFonts w:ascii="Times New Roman" w:hAnsi="Times New Roman" w:cs="Times New Roman"/>
          <w:color w:val="000000"/>
          <w:sz w:val="20"/>
          <w:szCs w:val="20"/>
        </w:rPr>
        <w:t xml:space="preserve"> </w:t>
      </w:r>
      <w:r w:rsidR="000579D6">
        <w:rPr>
          <w:rFonts w:ascii="Times New Roman" w:hAnsi="Times New Roman" w:cs="Times New Roman"/>
          <w:color w:val="000000"/>
          <w:sz w:val="20"/>
          <w:szCs w:val="20"/>
        </w:rPr>
        <w:t>a</w:t>
      </w:r>
      <w:r w:rsidR="0025118D">
        <w:rPr>
          <w:rFonts w:ascii="Times New Roman" w:hAnsi="Times New Roman" w:cs="Times New Roman"/>
          <w:color w:val="000000"/>
          <w:sz w:val="20"/>
          <w:szCs w:val="20"/>
        </w:rPr>
        <w:t>ctivity last week</w:t>
      </w:r>
      <w:r w:rsidR="002F14C6">
        <w:rPr>
          <w:rFonts w:ascii="Times New Roman" w:hAnsi="Times New Roman" w:cs="Times New Roman"/>
          <w:color w:val="000000"/>
          <w:sz w:val="20"/>
          <w:szCs w:val="20"/>
        </w:rPr>
        <w:t xml:space="preserve">; </w:t>
      </w:r>
      <w:r w:rsidR="000579D6">
        <w:rPr>
          <w:rFonts w:ascii="Times New Roman" w:hAnsi="Times New Roman" w:cs="Times New Roman"/>
          <w:color w:val="000000"/>
          <w:sz w:val="20"/>
          <w:szCs w:val="20"/>
        </w:rPr>
        <w:t>s</w:t>
      </w:r>
      <w:r w:rsidR="002F14C6">
        <w:rPr>
          <w:rFonts w:ascii="Times New Roman" w:hAnsi="Times New Roman" w:cs="Times New Roman"/>
          <w:color w:val="000000"/>
          <w:sz w:val="20"/>
          <w:szCs w:val="20"/>
        </w:rPr>
        <w:t>tudent indicator</w:t>
      </w:r>
      <w:r w:rsidR="005D557C">
        <w:rPr>
          <w:rFonts w:ascii="Times New Roman" w:hAnsi="Times New Roman" w:cs="Times New Roman"/>
          <w:color w:val="000000"/>
          <w:sz w:val="20"/>
          <w:szCs w:val="20"/>
        </w:rPr>
        <w:t xml:space="preserve">, </w:t>
      </w:r>
      <w:r w:rsidR="000579D6">
        <w:rPr>
          <w:rFonts w:ascii="Times New Roman" w:hAnsi="Times New Roman" w:cs="Times New Roman"/>
          <w:color w:val="000000"/>
          <w:sz w:val="20"/>
          <w:szCs w:val="20"/>
        </w:rPr>
        <w:t>t</w:t>
      </w:r>
      <w:r w:rsidR="005D557C">
        <w:rPr>
          <w:rFonts w:ascii="Times New Roman" w:hAnsi="Times New Roman" w:cs="Times New Roman"/>
          <w:color w:val="000000"/>
          <w:sz w:val="20"/>
          <w:szCs w:val="20"/>
        </w:rPr>
        <w:t xml:space="preserve">erm-time address indicator; </w:t>
      </w:r>
      <w:r w:rsidR="000579D6">
        <w:rPr>
          <w:rFonts w:ascii="Times New Roman" w:hAnsi="Times New Roman" w:cs="Times New Roman"/>
          <w:color w:val="000000"/>
          <w:sz w:val="20"/>
          <w:szCs w:val="20"/>
        </w:rPr>
        <w:t>c</w:t>
      </w:r>
      <w:r w:rsidR="006D4DFD">
        <w:rPr>
          <w:rFonts w:ascii="Times New Roman" w:hAnsi="Times New Roman" w:cs="Times New Roman"/>
          <w:color w:val="000000"/>
          <w:sz w:val="20"/>
          <w:szCs w:val="20"/>
        </w:rPr>
        <w:t>ountry of birth indicator</w:t>
      </w:r>
      <w:r w:rsidR="004522D7">
        <w:rPr>
          <w:rFonts w:ascii="Times New Roman" w:hAnsi="Times New Roman" w:cs="Times New Roman"/>
          <w:color w:val="000000"/>
          <w:sz w:val="20"/>
          <w:szCs w:val="20"/>
        </w:rPr>
        <w:t>; ‘hard to count’ rating;</w:t>
      </w:r>
      <w:r w:rsidR="005D557C">
        <w:rPr>
          <w:rFonts w:ascii="Times New Roman" w:hAnsi="Times New Roman" w:cs="Times New Roman"/>
          <w:color w:val="000000"/>
          <w:sz w:val="20"/>
          <w:szCs w:val="20"/>
        </w:rPr>
        <w:t xml:space="preserve"> </w:t>
      </w:r>
      <w:r w:rsidR="0044471A">
        <w:rPr>
          <w:rFonts w:ascii="Times New Roman" w:hAnsi="Times New Roman" w:cs="Times New Roman"/>
          <w:color w:val="000000"/>
          <w:sz w:val="20"/>
          <w:szCs w:val="20"/>
        </w:rPr>
        <w:t xml:space="preserve">as well as </w:t>
      </w:r>
      <w:r w:rsidR="00273DA2">
        <w:rPr>
          <w:rFonts w:ascii="Times New Roman" w:hAnsi="Times New Roman" w:cs="Times New Roman"/>
          <w:color w:val="000000"/>
          <w:sz w:val="20"/>
          <w:szCs w:val="20"/>
        </w:rPr>
        <w:t>the</w:t>
      </w:r>
      <w:r w:rsidR="008831BF">
        <w:rPr>
          <w:rFonts w:ascii="Times New Roman" w:hAnsi="Times New Roman" w:cs="Times New Roman"/>
          <w:color w:val="000000"/>
          <w:sz w:val="20"/>
          <w:szCs w:val="20"/>
        </w:rPr>
        <w:t xml:space="preserve"> additional </w:t>
      </w:r>
      <w:r w:rsidR="006948E5">
        <w:rPr>
          <w:rFonts w:ascii="Times New Roman" w:hAnsi="Times New Roman" w:cs="Times New Roman"/>
          <w:color w:val="000000"/>
          <w:sz w:val="20"/>
          <w:szCs w:val="20"/>
        </w:rPr>
        <w:t xml:space="preserve">matching </w:t>
      </w:r>
      <w:r w:rsidR="008831BF">
        <w:rPr>
          <w:rFonts w:ascii="Times New Roman" w:hAnsi="Times New Roman" w:cs="Times New Roman"/>
          <w:color w:val="000000"/>
          <w:sz w:val="20"/>
          <w:szCs w:val="20"/>
        </w:rPr>
        <w:t xml:space="preserve">variable of ‘admin age’ </w:t>
      </w:r>
      <w:r w:rsidR="00273DA2">
        <w:rPr>
          <w:rFonts w:ascii="Times New Roman" w:hAnsi="Times New Roman" w:cs="Times New Roman"/>
          <w:color w:val="000000"/>
          <w:sz w:val="20"/>
          <w:szCs w:val="20"/>
        </w:rPr>
        <w:t>provided</w:t>
      </w:r>
      <w:r w:rsidR="008831BF">
        <w:rPr>
          <w:rFonts w:ascii="Times New Roman" w:hAnsi="Times New Roman" w:cs="Times New Roman"/>
          <w:color w:val="000000"/>
          <w:sz w:val="20"/>
          <w:szCs w:val="20"/>
        </w:rPr>
        <w:t xml:space="preserve"> </w:t>
      </w:r>
      <w:r w:rsidR="00273DA2">
        <w:rPr>
          <w:rFonts w:ascii="Times New Roman" w:hAnsi="Times New Roman" w:cs="Times New Roman"/>
          <w:color w:val="000000"/>
          <w:sz w:val="20"/>
          <w:szCs w:val="20"/>
        </w:rPr>
        <w:t xml:space="preserve">by </w:t>
      </w:r>
      <w:r w:rsidR="008831BF">
        <w:rPr>
          <w:rFonts w:ascii="Times New Roman" w:hAnsi="Times New Roman" w:cs="Times New Roman"/>
          <w:color w:val="000000"/>
          <w:sz w:val="20"/>
          <w:szCs w:val="20"/>
        </w:rPr>
        <w:t>the synthetic administrative sources</w:t>
      </w:r>
      <w:r w:rsidR="00105BE8">
        <w:rPr>
          <w:rFonts w:ascii="Times New Roman" w:hAnsi="Times New Roman" w:cs="Times New Roman"/>
          <w:color w:val="000000"/>
          <w:sz w:val="20"/>
          <w:szCs w:val="20"/>
        </w:rPr>
        <w:t>,</w:t>
      </w:r>
      <w:r w:rsidR="001816CA">
        <w:rPr>
          <w:rFonts w:ascii="Times New Roman" w:hAnsi="Times New Roman" w:cs="Times New Roman"/>
          <w:color w:val="000000"/>
          <w:sz w:val="20"/>
          <w:szCs w:val="20"/>
        </w:rPr>
        <w:t xml:space="preserve"> </w:t>
      </w:r>
      <w:r w:rsidR="0088416E">
        <w:rPr>
          <w:rFonts w:ascii="Times New Roman" w:hAnsi="Times New Roman" w:cs="Times New Roman"/>
          <w:color w:val="000000"/>
          <w:sz w:val="20"/>
          <w:szCs w:val="20"/>
        </w:rPr>
        <w:t xml:space="preserve">with </w:t>
      </w:r>
      <w:r w:rsidR="00CF6729">
        <w:rPr>
          <w:rFonts w:ascii="Times New Roman" w:hAnsi="Times New Roman" w:cs="Times New Roman"/>
          <w:color w:val="000000"/>
          <w:sz w:val="20"/>
          <w:szCs w:val="20"/>
        </w:rPr>
        <w:t>its</w:t>
      </w:r>
      <w:r w:rsidR="00792E11">
        <w:rPr>
          <w:rFonts w:ascii="Times New Roman" w:hAnsi="Times New Roman" w:cs="Times New Roman"/>
          <w:color w:val="000000"/>
          <w:sz w:val="20"/>
          <w:szCs w:val="20"/>
        </w:rPr>
        <w:t xml:space="preserve"> weight</w:t>
      </w:r>
      <w:r w:rsidR="0088416E">
        <w:rPr>
          <w:rFonts w:ascii="Times New Roman" w:hAnsi="Times New Roman" w:cs="Times New Roman"/>
          <w:color w:val="000000"/>
          <w:sz w:val="20"/>
          <w:szCs w:val="20"/>
        </w:rPr>
        <w:t xml:space="preserve"> set to equal tha</w:t>
      </w:r>
      <w:r w:rsidR="001816CA">
        <w:rPr>
          <w:rFonts w:ascii="Times New Roman" w:hAnsi="Times New Roman" w:cs="Times New Roman"/>
          <w:color w:val="000000"/>
          <w:sz w:val="20"/>
          <w:szCs w:val="20"/>
        </w:rPr>
        <w:t xml:space="preserve">t </w:t>
      </w:r>
      <w:r w:rsidR="00CF6729">
        <w:rPr>
          <w:rFonts w:ascii="Times New Roman" w:hAnsi="Times New Roman" w:cs="Times New Roman"/>
          <w:color w:val="000000"/>
          <w:sz w:val="20"/>
          <w:szCs w:val="20"/>
        </w:rPr>
        <w:t xml:space="preserve">used for age in </w:t>
      </w:r>
      <w:r w:rsidR="001816CA">
        <w:rPr>
          <w:rFonts w:ascii="Times New Roman" w:hAnsi="Times New Roman" w:cs="Times New Roman"/>
          <w:color w:val="000000"/>
          <w:sz w:val="20"/>
          <w:szCs w:val="20"/>
        </w:rPr>
        <w:t>the 2011 Census</w:t>
      </w:r>
      <w:r w:rsidR="008831BF">
        <w:rPr>
          <w:rFonts w:ascii="Times New Roman" w:hAnsi="Times New Roman" w:cs="Times New Roman"/>
          <w:color w:val="000000"/>
          <w:sz w:val="20"/>
          <w:szCs w:val="20"/>
        </w:rPr>
        <w:t>.</w:t>
      </w:r>
      <w:r w:rsidR="008C0D24">
        <w:rPr>
          <w:rFonts w:ascii="Times New Roman" w:hAnsi="Times New Roman" w:cs="Times New Roman"/>
          <w:color w:val="000000"/>
          <w:sz w:val="20"/>
          <w:szCs w:val="20"/>
        </w:rPr>
        <w:t xml:space="preserve"> </w:t>
      </w:r>
      <w:r w:rsidR="008627FE">
        <w:rPr>
          <w:rFonts w:ascii="Times New Roman" w:hAnsi="Times New Roman" w:cs="Times New Roman"/>
          <w:color w:val="000000"/>
          <w:sz w:val="20"/>
          <w:szCs w:val="20"/>
        </w:rPr>
        <w:t xml:space="preserve">Admin age was set to equal the true </w:t>
      </w:r>
      <w:r w:rsidR="00A765DB">
        <w:rPr>
          <w:rFonts w:ascii="Times New Roman" w:hAnsi="Times New Roman" w:cs="Times New Roman"/>
          <w:color w:val="000000"/>
          <w:sz w:val="20"/>
          <w:szCs w:val="20"/>
        </w:rPr>
        <w:t xml:space="preserve">census </w:t>
      </w:r>
      <w:r w:rsidR="008627FE">
        <w:rPr>
          <w:rFonts w:ascii="Times New Roman" w:hAnsi="Times New Roman" w:cs="Times New Roman"/>
          <w:color w:val="000000"/>
          <w:sz w:val="20"/>
          <w:szCs w:val="20"/>
        </w:rPr>
        <w:t>age for all clean records.</w:t>
      </w:r>
      <w:r w:rsidR="007D4D81">
        <w:rPr>
          <w:rFonts w:ascii="Times New Roman" w:hAnsi="Times New Roman" w:cs="Times New Roman"/>
          <w:color w:val="000000"/>
          <w:sz w:val="20"/>
          <w:szCs w:val="20"/>
        </w:rPr>
        <w:t xml:space="preserve"> </w:t>
      </w:r>
    </w:p>
    <w:p w:rsidR="007D4D81" w:rsidRDefault="007D4D81" w:rsidP="00A510D3">
      <w:pPr>
        <w:spacing w:after="0" w:line="240" w:lineRule="auto"/>
        <w:rPr>
          <w:rFonts w:ascii="Times New Roman" w:hAnsi="Times New Roman" w:cs="Times New Roman"/>
          <w:color w:val="000000"/>
          <w:sz w:val="20"/>
          <w:szCs w:val="20"/>
        </w:rPr>
      </w:pPr>
    </w:p>
    <w:p w:rsidR="00733768" w:rsidRDefault="007D4D81" w:rsidP="00A510D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final stage of the study involved deriving</w:t>
      </w:r>
      <w:r w:rsidR="00B16972">
        <w:rPr>
          <w:rFonts w:ascii="Times New Roman" w:hAnsi="Times New Roman" w:cs="Times New Roman"/>
          <w:color w:val="000000"/>
          <w:sz w:val="20"/>
          <w:szCs w:val="20"/>
        </w:rPr>
        <w:t xml:space="preserve"> error distributions for age from</w:t>
      </w:r>
      <w:r>
        <w:rPr>
          <w:rFonts w:ascii="Times New Roman" w:hAnsi="Times New Roman" w:cs="Times New Roman"/>
          <w:color w:val="000000"/>
          <w:sz w:val="20"/>
          <w:szCs w:val="20"/>
        </w:rPr>
        <w:t xml:space="preserve"> </w:t>
      </w:r>
      <w:r w:rsidR="00382A63">
        <w:rPr>
          <w:rFonts w:ascii="Times New Roman" w:hAnsi="Times New Roman" w:cs="Times New Roman"/>
          <w:color w:val="000000"/>
          <w:sz w:val="20"/>
          <w:szCs w:val="20"/>
        </w:rPr>
        <w:t>real</w:t>
      </w:r>
      <w:r>
        <w:rPr>
          <w:rFonts w:ascii="Times New Roman" w:hAnsi="Times New Roman" w:cs="Times New Roman"/>
          <w:color w:val="000000"/>
          <w:sz w:val="20"/>
          <w:szCs w:val="20"/>
        </w:rPr>
        <w:t xml:space="preserve"> administrative datasets by matching them to 2011 Census data (assumed to represent the true age) by </w:t>
      </w:r>
      <w:r w:rsidR="00B16972">
        <w:rPr>
          <w:rFonts w:ascii="Times New Roman" w:hAnsi="Times New Roman" w:cs="Times New Roman"/>
          <w:color w:val="000000"/>
          <w:sz w:val="20"/>
          <w:szCs w:val="20"/>
        </w:rPr>
        <w:t>fore</w:t>
      </w:r>
      <w:r>
        <w:rPr>
          <w:rFonts w:ascii="Times New Roman" w:hAnsi="Times New Roman" w:cs="Times New Roman"/>
          <w:color w:val="000000"/>
          <w:sz w:val="20"/>
          <w:szCs w:val="20"/>
        </w:rPr>
        <w:t>name,</w:t>
      </w:r>
      <w:r w:rsidR="00B16972">
        <w:rPr>
          <w:rFonts w:ascii="Times New Roman" w:hAnsi="Times New Roman" w:cs="Times New Roman"/>
          <w:color w:val="000000"/>
          <w:sz w:val="20"/>
          <w:szCs w:val="20"/>
        </w:rPr>
        <w:t xml:space="preserve"> surname,</w:t>
      </w:r>
      <w:r>
        <w:rPr>
          <w:rFonts w:ascii="Times New Roman" w:hAnsi="Times New Roman" w:cs="Times New Roman"/>
          <w:color w:val="000000"/>
          <w:sz w:val="20"/>
          <w:szCs w:val="20"/>
        </w:rPr>
        <w:t xml:space="preserve"> sex and post</w:t>
      </w:r>
      <w:r w:rsidR="004522D7">
        <w:rPr>
          <w:rFonts w:ascii="Times New Roman" w:hAnsi="Times New Roman" w:cs="Times New Roman"/>
          <w:color w:val="000000"/>
          <w:sz w:val="20"/>
          <w:szCs w:val="20"/>
        </w:rPr>
        <w:t xml:space="preserve">al </w:t>
      </w:r>
      <w:r>
        <w:rPr>
          <w:rFonts w:ascii="Times New Roman" w:hAnsi="Times New Roman" w:cs="Times New Roman"/>
          <w:color w:val="000000"/>
          <w:sz w:val="20"/>
          <w:szCs w:val="20"/>
        </w:rPr>
        <w:t xml:space="preserve">code. These error distributions were then used to create additional synthetic admin </w:t>
      </w:r>
      <w:r w:rsidR="00A30097">
        <w:rPr>
          <w:rFonts w:ascii="Times New Roman" w:hAnsi="Times New Roman" w:cs="Times New Roman"/>
          <w:color w:val="000000"/>
          <w:sz w:val="20"/>
          <w:szCs w:val="20"/>
        </w:rPr>
        <w:t>age variables</w:t>
      </w:r>
      <w:r>
        <w:rPr>
          <w:rFonts w:ascii="Times New Roman" w:hAnsi="Times New Roman" w:cs="Times New Roman"/>
          <w:color w:val="000000"/>
          <w:sz w:val="20"/>
          <w:szCs w:val="20"/>
        </w:rPr>
        <w:t xml:space="preserve"> which were used to impute</w:t>
      </w:r>
      <w:r w:rsidR="0073257E">
        <w:rPr>
          <w:rFonts w:ascii="Times New Roman" w:hAnsi="Times New Roman" w:cs="Times New Roman"/>
          <w:color w:val="000000"/>
          <w:sz w:val="20"/>
          <w:szCs w:val="20"/>
        </w:rPr>
        <w:t xml:space="preserve"> the perturbed dataset</w:t>
      </w:r>
      <w:r w:rsidR="00B16972">
        <w:rPr>
          <w:rFonts w:ascii="Times New Roman" w:hAnsi="Times New Roman" w:cs="Times New Roman"/>
          <w:color w:val="000000"/>
          <w:sz w:val="20"/>
          <w:szCs w:val="20"/>
        </w:rPr>
        <w:t>,</w:t>
      </w:r>
      <w:r w:rsidR="0073257E">
        <w:rPr>
          <w:rFonts w:ascii="Times New Roman" w:hAnsi="Times New Roman" w:cs="Times New Roman"/>
          <w:color w:val="000000"/>
          <w:sz w:val="20"/>
          <w:szCs w:val="20"/>
        </w:rPr>
        <w:t xml:space="preserve"> as above</w:t>
      </w:r>
      <w:r w:rsidR="00B16972">
        <w:rPr>
          <w:rFonts w:ascii="Times New Roman" w:hAnsi="Times New Roman" w:cs="Times New Roman"/>
          <w:color w:val="000000"/>
          <w:sz w:val="20"/>
          <w:szCs w:val="20"/>
        </w:rPr>
        <w:t>,</w:t>
      </w:r>
      <w:r w:rsidR="0073257E">
        <w:rPr>
          <w:rFonts w:ascii="Times New Roman" w:hAnsi="Times New Roman" w:cs="Times New Roman"/>
          <w:color w:val="000000"/>
          <w:sz w:val="20"/>
          <w:szCs w:val="20"/>
        </w:rPr>
        <w:t xml:space="preserve"> in order to determine where </w:t>
      </w:r>
      <w:r w:rsidR="0095320A">
        <w:rPr>
          <w:rFonts w:ascii="Times New Roman" w:hAnsi="Times New Roman" w:cs="Times New Roman"/>
          <w:color w:val="000000"/>
          <w:sz w:val="20"/>
          <w:szCs w:val="20"/>
        </w:rPr>
        <w:t xml:space="preserve">real </w:t>
      </w:r>
      <w:r w:rsidR="004A3C10">
        <w:rPr>
          <w:rFonts w:ascii="Times New Roman" w:hAnsi="Times New Roman" w:cs="Times New Roman"/>
          <w:color w:val="000000"/>
          <w:sz w:val="20"/>
          <w:szCs w:val="20"/>
        </w:rPr>
        <w:t xml:space="preserve">administrative </w:t>
      </w:r>
      <w:r w:rsidR="0095320A">
        <w:rPr>
          <w:rFonts w:ascii="Times New Roman" w:hAnsi="Times New Roman" w:cs="Times New Roman"/>
          <w:color w:val="000000"/>
          <w:sz w:val="20"/>
          <w:szCs w:val="20"/>
        </w:rPr>
        <w:t>datasets might fall o</w:t>
      </w:r>
      <w:r w:rsidR="0073257E">
        <w:rPr>
          <w:rFonts w:ascii="Times New Roman" w:hAnsi="Times New Roman" w:cs="Times New Roman"/>
          <w:color w:val="000000"/>
          <w:sz w:val="20"/>
          <w:szCs w:val="20"/>
        </w:rPr>
        <w:t>n the continuum of error.</w:t>
      </w:r>
    </w:p>
    <w:p w:rsidR="00A6178E" w:rsidRDefault="00A6178E" w:rsidP="00A510D3">
      <w:pPr>
        <w:spacing w:after="0" w:line="240" w:lineRule="auto"/>
        <w:rPr>
          <w:rFonts w:ascii="Times New Roman" w:hAnsi="Times New Roman" w:cs="Times New Roman"/>
          <w:color w:val="000000"/>
          <w:sz w:val="20"/>
          <w:szCs w:val="20"/>
        </w:rPr>
      </w:pPr>
    </w:p>
    <w:p w:rsidR="005F65FE" w:rsidRDefault="002A11A2" w:rsidP="005F65FE">
      <w:pPr>
        <w:pStyle w:val="ListParagraph"/>
        <w:numPr>
          <w:ilvl w:val="0"/>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Results</w:t>
      </w:r>
      <w:r w:rsidR="009E5A3F">
        <w:rPr>
          <w:rFonts w:ascii="Times New Roman" w:hAnsi="Times New Roman" w:cs="Times New Roman"/>
          <w:b/>
          <w:sz w:val="24"/>
          <w:szCs w:val="24"/>
        </w:rPr>
        <w:t xml:space="preserve"> &amp; </w:t>
      </w:r>
      <w:r w:rsidR="00E80C3C">
        <w:rPr>
          <w:rFonts w:ascii="Times New Roman" w:hAnsi="Times New Roman" w:cs="Times New Roman"/>
          <w:b/>
          <w:sz w:val="24"/>
          <w:szCs w:val="24"/>
        </w:rPr>
        <w:t>Discussion</w:t>
      </w:r>
    </w:p>
    <w:p w:rsidR="00733768" w:rsidRDefault="00733768" w:rsidP="00733768">
      <w:pPr>
        <w:spacing w:after="0" w:line="240" w:lineRule="auto"/>
        <w:rPr>
          <w:rFonts w:ascii="Times New Roman" w:hAnsi="Times New Roman" w:cs="Times New Roman"/>
          <w:b/>
          <w:sz w:val="20"/>
          <w:szCs w:val="20"/>
        </w:rPr>
      </w:pPr>
    </w:p>
    <w:p w:rsidR="0047485D" w:rsidRPr="00E80C3C" w:rsidRDefault="005E58AD" w:rsidP="00E80C3C">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Predictive accuracy</w:t>
      </w:r>
    </w:p>
    <w:p w:rsidR="00E80C3C" w:rsidRPr="00E80C3C" w:rsidRDefault="00E80C3C" w:rsidP="00E80C3C">
      <w:pPr>
        <w:spacing w:after="0" w:line="240" w:lineRule="auto"/>
        <w:rPr>
          <w:rFonts w:ascii="Times New Roman" w:hAnsi="Times New Roman" w:cs="Times New Roman"/>
          <w:b/>
          <w:sz w:val="20"/>
          <w:szCs w:val="20"/>
        </w:rPr>
      </w:pPr>
    </w:p>
    <w:p w:rsidR="00192C78" w:rsidRDefault="0029629E" w:rsidP="002A11A2">
      <w:pPr>
        <w:spacing w:after="0" w:line="240" w:lineRule="auto"/>
        <w:rPr>
          <w:rFonts w:ascii="Times New Roman" w:hAnsi="Times New Roman" w:cs="Times New Roman"/>
          <w:sz w:val="20"/>
          <w:szCs w:val="20"/>
        </w:rPr>
      </w:pPr>
      <w:r>
        <w:rPr>
          <w:rFonts w:ascii="Times New Roman" w:hAnsi="Times New Roman" w:cs="Times New Roman"/>
          <w:sz w:val="20"/>
          <w:szCs w:val="20"/>
        </w:rPr>
        <w:t>Figures 2.1-1 to 2.1-5</w:t>
      </w:r>
      <w:r w:rsidR="00A20DD3">
        <w:rPr>
          <w:rFonts w:ascii="Times New Roman" w:hAnsi="Times New Roman" w:cs="Times New Roman"/>
          <w:sz w:val="20"/>
          <w:szCs w:val="20"/>
        </w:rPr>
        <w:t xml:space="preserve"> illustrate the distributions of</w:t>
      </w:r>
      <w:r w:rsidR="00471F23">
        <w:rPr>
          <w:rFonts w:ascii="Times New Roman" w:hAnsi="Times New Roman" w:cs="Times New Roman"/>
          <w:sz w:val="20"/>
          <w:szCs w:val="20"/>
        </w:rPr>
        <w:t xml:space="preserve"> the </w:t>
      </w:r>
      <w:r w:rsidR="00C97E1D">
        <w:rPr>
          <w:rFonts w:ascii="Times New Roman" w:hAnsi="Times New Roman" w:cs="Times New Roman"/>
          <w:sz w:val="20"/>
          <w:szCs w:val="20"/>
        </w:rPr>
        <w:t>error in</w:t>
      </w:r>
      <w:r w:rsidR="000B6A43">
        <w:rPr>
          <w:rFonts w:ascii="Times New Roman" w:hAnsi="Times New Roman" w:cs="Times New Roman"/>
          <w:sz w:val="20"/>
          <w:szCs w:val="20"/>
        </w:rPr>
        <w:t xml:space="preserve"> the</w:t>
      </w:r>
      <w:r w:rsidR="00826565">
        <w:rPr>
          <w:rFonts w:ascii="Times New Roman" w:hAnsi="Times New Roman" w:cs="Times New Roman"/>
          <w:sz w:val="20"/>
          <w:szCs w:val="20"/>
        </w:rPr>
        <w:t xml:space="preserve"> impu</w:t>
      </w:r>
      <w:r w:rsidR="00C97E1D">
        <w:rPr>
          <w:rFonts w:ascii="Times New Roman" w:hAnsi="Times New Roman" w:cs="Times New Roman"/>
          <w:sz w:val="20"/>
          <w:szCs w:val="20"/>
        </w:rPr>
        <w:t>ted age</w:t>
      </w:r>
      <w:r w:rsidR="00D47323">
        <w:rPr>
          <w:rFonts w:ascii="Times New Roman" w:hAnsi="Times New Roman" w:cs="Times New Roman"/>
          <w:sz w:val="20"/>
          <w:szCs w:val="20"/>
        </w:rPr>
        <w:t xml:space="preserve"> </w:t>
      </w:r>
      <w:r w:rsidR="00C97E1D">
        <w:rPr>
          <w:rFonts w:ascii="Times New Roman" w:hAnsi="Times New Roman" w:cs="Times New Roman"/>
          <w:sz w:val="20"/>
          <w:szCs w:val="20"/>
        </w:rPr>
        <w:t>compared with the true age</w:t>
      </w:r>
      <w:r w:rsidR="00826565">
        <w:rPr>
          <w:rFonts w:ascii="Times New Roman" w:hAnsi="Times New Roman" w:cs="Times New Roman"/>
          <w:sz w:val="20"/>
          <w:szCs w:val="20"/>
        </w:rPr>
        <w:t xml:space="preserve"> for each of the experimental conditions</w:t>
      </w:r>
      <w:r w:rsidR="00B82D50">
        <w:rPr>
          <w:rFonts w:ascii="Times New Roman" w:hAnsi="Times New Roman" w:cs="Times New Roman"/>
          <w:sz w:val="20"/>
          <w:szCs w:val="20"/>
        </w:rPr>
        <w:t>, based on all potential donors</w:t>
      </w:r>
      <w:r w:rsidR="001E28D3">
        <w:rPr>
          <w:rFonts w:ascii="Times New Roman" w:hAnsi="Times New Roman" w:cs="Times New Roman"/>
          <w:sz w:val="20"/>
          <w:szCs w:val="20"/>
        </w:rPr>
        <w:t>.</w:t>
      </w:r>
      <w:r w:rsidR="002A11A2">
        <w:rPr>
          <w:rFonts w:ascii="Times New Roman" w:hAnsi="Times New Roman" w:cs="Times New Roman"/>
          <w:sz w:val="20"/>
          <w:szCs w:val="20"/>
        </w:rPr>
        <w:t xml:space="preserve"> </w:t>
      </w:r>
      <w:r w:rsidR="00B20604">
        <w:rPr>
          <w:rFonts w:ascii="Times New Roman" w:hAnsi="Times New Roman" w:cs="Times New Roman"/>
          <w:sz w:val="20"/>
          <w:szCs w:val="20"/>
        </w:rPr>
        <w:t xml:space="preserve">The exact </w:t>
      </w:r>
      <w:r w:rsidR="004A3C10">
        <w:rPr>
          <w:rFonts w:ascii="Times New Roman" w:hAnsi="Times New Roman" w:cs="Times New Roman"/>
          <w:sz w:val="20"/>
          <w:szCs w:val="20"/>
        </w:rPr>
        <w:t xml:space="preserve">administrative </w:t>
      </w:r>
      <w:r w:rsidR="002773B6">
        <w:rPr>
          <w:rFonts w:ascii="Times New Roman" w:hAnsi="Times New Roman" w:cs="Times New Roman"/>
          <w:sz w:val="20"/>
          <w:szCs w:val="20"/>
        </w:rPr>
        <w:t>data condition clearly performed</w:t>
      </w:r>
      <w:r w:rsidR="00B20604">
        <w:rPr>
          <w:rFonts w:ascii="Times New Roman" w:hAnsi="Times New Roman" w:cs="Times New Roman"/>
          <w:sz w:val="20"/>
          <w:szCs w:val="20"/>
        </w:rPr>
        <w:t xml:space="preserve"> better than the no </w:t>
      </w:r>
      <w:r w:rsidR="004A3C10">
        <w:rPr>
          <w:rFonts w:ascii="Times New Roman" w:hAnsi="Times New Roman" w:cs="Times New Roman"/>
          <w:sz w:val="20"/>
          <w:szCs w:val="20"/>
        </w:rPr>
        <w:t xml:space="preserve">administrative </w:t>
      </w:r>
      <w:r w:rsidR="00B20604">
        <w:rPr>
          <w:rFonts w:ascii="Times New Roman" w:hAnsi="Times New Roman" w:cs="Times New Roman"/>
          <w:sz w:val="20"/>
          <w:szCs w:val="20"/>
        </w:rPr>
        <w:t xml:space="preserve">data condition, </w:t>
      </w:r>
      <w:r w:rsidR="00C97E1D">
        <w:rPr>
          <w:rFonts w:ascii="Times New Roman" w:hAnsi="Times New Roman" w:cs="Times New Roman"/>
          <w:sz w:val="20"/>
          <w:szCs w:val="20"/>
        </w:rPr>
        <w:t>with errors centred around zero</w:t>
      </w:r>
      <w:r w:rsidR="00B20604">
        <w:rPr>
          <w:rFonts w:ascii="Times New Roman" w:hAnsi="Times New Roman" w:cs="Times New Roman"/>
          <w:sz w:val="20"/>
          <w:szCs w:val="20"/>
        </w:rPr>
        <w:t xml:space="preserve"> but with </w:t>
      </w:r>
      <w:r w:rsidR="004155CB">
        <w:rPr>
          <w:rFonts w:ascii="Times New Roman" w:hAnsi="Times New Roman" w:cs="Times New Roman"/>
          <w:sz w:val="20"/>
          <w:szCs w:val="20"/>
        </w:rPr>
        <w:t xml:space="preserve">a </w:t>
      </w:r>
      <w:r w:rsidR="00B20604">
        <w:rPr>
          <w:rFonts w:ascii="Times New Roman" w:hAnsi="Times New Roman" w:cs="Times New Roman"/>
          <w:sz w:val="20"/>
          <w:szCs w:val="20"/>
        </w:rPr>
        <w:t xml:space="preserve">much </w:t>
      </w:r>
      <w:r w:rsidR="004155CB">
        <w:rPr>
          <w:rFonts w:ascii="Times New Roman" w:hAnsi="Times New Roman" w:cs="Times New Roman"/>
          <w:sz w:val="20"/>
          <w:szCs w:val="20"/>
        </w:rPr>
        <w:t xml:space="preserve">lower </w:t>
      </w:r>
      <w:r w:rsidR="00586734">
        <w:rPr>
          <w:rFonts w:ascii="Times New Roman" w:hAnsi="Times New Roman" w:cs="Times New Roman"/>
          <w:sz w:val="20"/>
          <w:szCs w:val="20"/>
        </w:rPr>
        <w:t>standard deviation</w:t>
      </w:r>
      <w:r w:rsidR="00BD0EE8">
        <w:rPr>
          <w:rFonts w:ascii="Times New Roman" w:hAnsi="Times New Roman" w:cs="Times New Roman"/>
          <w:sz w:val="20"/>
          <w:szCs w:val="20"/>
        </w:rPr>
        <w:t xml:space="preserve"> (</w:t>
      </w:r>
      <w:r w:rsidR="00053761">
        <w:rPr>
          <w:rFonts w:ascii="Times New Roman" w:hAnsi="Times New Roman" w:cs="Times New Roman"/>
          <w:sz w:val="20"/>
          <w:szCs w:val="20"/>
        </w:rPr>
        <w:t>3.17</w:t>
      </w:r>
      <w:r w:rsidR="00586734">
        <w:rPr>
          <w:rFonts w:ascii="Times New Roman" w:hAnsi="Times New Roman" w:cs="Times New Roman"/>
          <w:sz w:val="20"/>
          <w:szCs w:val="20"/>
        </w:rPr>
        <w:t xml:space="preserve">, compared with </w:t>
      </w:r>
      <w:r w:rsidR="00053761">
        <w:rPr>
          <w:rFonts w:ascii="Times New Roman" w:hAnsi="Times New Roman" w:cs="Times New Roman"/>
          <w:sz w:val="20"/>
          <w:szCs w:val="20"/>
        </w:rPr>
        <w:t>11.89</w:t>
      </w:r>
      <w:r w:rsidR="00824686">
        <w:rPr>
          <w:rFonts w:ascii="Times New Roman" w:hAnsi="Times New Roman" w:cs="Times New Roman"/>
          <w:sz w:val="20"/>
          <w:szCs w:val="20"/>
        </w:rPr>
        <w:t xml:space="preserve"> for the no </w:t>
      </w:r>
      <w:r w:rsidR="004A3C10">
        <w:rPr>
          <w:rFonts w:ascii="Times New Roman" w:hAnsi="Times New Roman" w:cs="Times New Roman"/>
          <w:sz w:val="20"/>
          <w:szCs w:val="20"/>
        </w:rPr>
        <w:t xml:space="preserve">administrative </w:t>
      </w:r>
      <w:r w:rsidR="00824686">
        <w:rPr>
          <w:rFonts w:ascii="Times New Roman" w:hAnsi="Times New Roman" w:cs="Times New Roman"/>
          <w:sz w:val="20"/>
          <w:szCs w:val="20"/>
        </w:rPr>
        <w:t xml:space="preserve">data condition, see </w:t>
      </w:r>
      <w:r w:rsidR="00BD0EE8">
        <w:rPr>
          <w:rFonts w:ascii="Times New Roman" w:hAnsi="Times New Roman" w:cs="Times New Roman"/>
          <w:sz w:val="20"/>
          <w:szCs w:val="20"/>
        </w:rPr>
        <w:t>Table 2.1-1)</w:t>
      </w:r>
      <w:r w:rsidR="00F676D0">
        <w:rPr>
          <w:rFonts w:ascii="Times New Roman" w:hAnsi="Times New Roman" w:cs="Times New Roman"/>
          <w:sz w:val="20"/>
          <w:szCs w:val="20"/>
        </w:rPr>
        <w:t xml:space="preserve">, while the other </w:t>
      </w:r>
      <w:r w:rsidR="004A3C10">
        <w:rPr>
          <w:rFonts w:ascii="Times New Roman" w:hAnsi="Times New Roman" w:cs="Times New Roman"/>
          <w:sz w:val="20"/>
          <w:szCs w:val="20"/>
        </w:rPr>
        <w:t xml:space="preserve">administrative </w:t>
      </w:r>
      <w:r w:rsidR="00F676D0">
        <w:rPr>
          <w:rFonts w:ascii="Times New Roman" w:hAnsi="Times New Roman" w:cs="Times New Roman"/>
          <w:sz w:val="20"/>
          <w:szCs w:val="20"/>
        </w:rPr>
        <w:t>data conditions</w:t>
      </w:r>
      <w:r w:rsidR="006956A8">
        <w:rPr>
          <w:rFonts w:ascii="Times New Roman" w:hAnsi="Times New Roman" w:cs="Times New Roman"/>
          <w:sz w:val="20"/>
          <w:szCs w:val="20"/>
        </w:rPr>
        <w:t xml:space="preserve"> produce</w:t>
      </w:r>
      <w:r w:rsidR="002773B6">
        <w:rPr>
          <w:rFonts w:ascii="Times New Roman" w:hAnsi="Times New Roman" w:cs="Times New Roman"/>
          <w:sz w:val="20"/>
          <w:szCs w:val="20"/>
        </w:rPr>
        <w:t>d</w:t>
      </w:r>
      <w:r w:rsidR="006956A8">
        <w:rPr>
          <w:rFonts w:ascii="Times New Roman" w:hAnsi="Times New Roman" w:cs="Times New Roman"/>
          <w:sz w:val="20"/>
          <w:szCs w:val="20"/>
        </w:rPr>
        <w:t xml:space="preserve"> non-normal distributions of error</w:t>
      </w:r>
      <w:r w:rsidR="00BD0EE8">
        <w:rPr>
          <w:rFonts w:ascii="Times New Roman" w:hAnsi="Times New Roman" w:cs="Times New Roman"/>
          <w:sz w:val="20"/>
          <w:szCs w:val="20"/>
        </w:rPr>
        <w:t xml:space="preserve">, with </w:t>
      </w:r>
      <w:r w:rsidR="00C97E1D">
        <w:rPr>
          <w:rFonts w:ascii="Times New Roman" w:hAnsi="Times New Roman" w:cs="Times New Roman"/>
          <w:sz w:val="20"/>
          <w:szCs w:val="20"/>
        </w:rPr>
        <w:t>modes</w:t>
      </w:r>
      <w:r w:rsidR="00BD0EE8">
        <w:rPr>
          <w:rFonts w:ascii="Times New Roman" w:hAnsi="Times New Roman" w:cs="Times New Roman"/>
          <w:sz w:val="20"/>
          <w:szCs w:val="20"/>
        </w:rPr>
        <w:t xml:space="preserve"> reflecting the </w:t>
      </w:r>
      <w:r w:rsidR="000B6A43">
        <w:rPr>
          <w:rFonts w:ascii="Times New Roman" w:hAnsi="Times New Roman" w:cs="Times New Roman"/>
          <w:sz w:val="20"/>
          <w:szCs w:val="20"/>
        </w:rPr>
        <w:t xml:space="preserve">level of </w:t>
      </w:r>
      <w:r w:rsidR="00BD0EE8">
        <w:rPr>
          <w:rFonts w:ascii="Times New Roman" w:hAnsi="Times New Roman" w:cs="Times New Roman"/>
          <w:sz w:val="20"/>
          <w:szCs w:val="20"/>
        </w:rPr>
        <w:t>error in the admin data variable.</w:t>
      </w:r>
    </w:p>
    <w:p w:rsidR="00B40FA6" w:rsidRDefault="00B40FA6" w:rsidP="002A11A2">
      <w:pPr>
        <w:spacing w:after="0" w:line="240" w:lineRule="auto"/>
        <w:rPr>
          <w:rFonts w:ascii="Times New Roman" w:hAnsi="Times New Roman" w:cs="Times New Roman"/>
          <w:sz w:val="20"/>
          <w:szCs w:val="20"/>
        </w:rPr>
      </w:pPr>
    </w:p>
    <w:p w:rsidR="008751B7" w:rsidRPr="008751B7" w:rsidRDefault="00B40FA6" w:rsidP="005A11CF">
      <w:pPr>
        <w:pStyle w:val="Caption"/>
        <w:keepNext/>
        <w:spacing w:after="0"/>
        <w:rPr>
          <w:rFonts w:ascii="Times New Roman" w:hAnsi="Times New Roman" w:cs="Times New Roman"/>
          <w:color w:val="auto"/>
          <w:sz w:val="20"/>
          <w:szCs w:val="20"/>
        </w:rPr>
      </w:pPr>
      <w:r w:rsidRPr="008751B7">
        <w:rPr>
          <w:rFonts w:ascii="Times New Roman" w:hAnsi="Times New Roman" w:cs="Times New Roman"/>
          <w:color w:val="auto"/>
          <w:sz w:val="20"/>
          <w:szCs w:val="20"/>
        </w:rPr>
        <w:lastRenderedPageBreak/>
        <w:t>Figure 2.</w:t>
      </w:r>
      <w:r w:rsidR="007F7F5C" w:rsidRPr="008751B7">
        <w:rPr>
          <w:rFonts w:ascii="Times New Roman" w:hAnsi="Times New Roman" w:cs="Times New Roman"/>
          <w:color w:val="auto"/>
          <w:sz w:val="20"/>
          <w:szCs w:val="20"/>
        </w:rPr>
        <w:fldChar w:fldCharType="begin"/>
      </w:r>
      <w:r w:rsidRPr="008751B7">
        <w:rPr>
          <w:rFonts w:ascii="Times New Roman" w:hAnsi="Times New Roman" w:cs="Times New Roman"/>
          <w:color w:val="auto"/>
          <w:sz w:val="20"/>
          <w:szCs w:val="20"/>
        </w:rPr>
        <w:instrText xml:space="preserve"> SEQ Figure \* ARABIC </w:instrText>
      </w:r>
      <w:r w:rsidR="007F7F5C" w:rsidRPr="008751B7">
        <w:rPr>
          <w:rFonts w:ascii="Times New Roman" w:hAnsi="Times New Roman" w:cs="Times New Roman"/>
          <w:color w:val="auto"/>
          <w:sz w:val="20"/>
          <w:szCs w:val="20"/>
        </w:rPr>
        <w:fldChar w:fldCharType="separate"/>
      </w:r>
      <w:r w:rsidR="00FC321E" w:rsidRPr="008751B7">
        <w:rPr>
          <w:rFonts w:ascii="Times New Roman" w:hAnsi="Times New Roman" w:cs="Times New Roman"/>
          <w:noProof/>
          <w:color w:val="auto"/>
          <w:sz w:val="20"/>
          <w:szCs w:val="20"/>
        </w:rPr>
        <w:t>1</w:t>
      </w:r>
      <w:r w:rsidR="007F7F5C" w:rsidRPr="008751B7">
        <w:rPr>
          <w:rFonts w:ascii="Times New Roman" w:hAnsi="Times New Roman" w:cs="Times New Roman"/>
          <w:color w:val="auto"/>
          <w:sz w:val="20"/>
          <w:szCs w:val="20"/>
        </w:rPr>
        <w:fldChar w:fldCharType="end"/>
      </w:r>
      <w:r w:rsidRPr="008751B7">
        <w:rPr>
          <w:rFonts w:ascii="Times New Roman" w:hAnsi="Times New Roman" w:cs="Times New Roman"/>
          <w:color w:val="auto"/>
          <w:sz w:val="20"/>
          <w:szCs w:val="20"/>
        </w:rPr>
        <w:t>-1</w:t>
      </w:r>
      <w:r w:rsidR="00F46394" w:rsidRPr="008751B7">
        <w:rPr>
          <w:rFonts w:ascii="Times New Roman" w:hAnsi="Times New Roman" w:cs="Times New Roman"/>
          <w:color w:val="auto"/>
          <w:sz w:val="20"/>
          <w:szCs w:val="20"/>
        </w:rPr>
        <w:t>.</w:t>
      </w:r>
      <w:r w:rsidR="007F5959" w:rsidRPr="008751B7">
        <w:rPr>
          <w:rFonts w:ascii="Times New Roman" w:hAnsi="Times New Roman" w:cs="Times New Roman"/>
          <w:color w:val="auto"/>
          <w:sz w:val="20"/>
          <w:szCs w:val="20"/>
        </w:rPr>
        <w:t xml:space="preserve"> </w:t>
      </w:r>
      <w:r w:rsidR="008751B7" w:rsidRPr="008751B7">
        <w:rPr>
          <w:rFonts w:ascii="Times New Roman" w:hAnsi="Times New Roman" w:cs="Times New Roman"/>
          <w:color w:val="auto"/>
          <w:sz w:val="20"/>
          <w:szCs w:val="20"/>
        </w:rPr>
        <w:t xml:space="preserve"> </w:t>
      </w:r>
      <w:r w:rsidR="008751B7" w:rsidRPr="008751B7">
        <w:rPr>
          <w:rFonts w:ascii="Times New Roman" w:hAnsi="Times New Roman" w:cs="Times New Roman"/>
          <w:color w:val="auto"/>
          <w:sz w:val="20"/>
          <w:szCs w:val="20"/>
        </w:rPr>
        <w:tab/>
      </w:r>
      <w:r w:rsidR="008751B7" w:rsidRPr="008751B7">
        <w:rPr>
          <w:rFonts w:ascii="Times New Roman" w:hAnsi="Times New Roman" w:cs="Times New Roman"/>
          <w:color w:val="auto"/>
          <w:sz w:val="20"/>
          <w:szCs w:val="20"/>
        </w:rPr>
        <w:tab/>
      </w:r>
      <w:r w:rsidR="008751B7" w:rsidRPr="008751B7">
        <w:rPr>
          <w:rFonts w:ascii="Times New Roman" w:hAnsi="Times New Roman" w:cs="Times New Roman"/>
          <w:color w:val="auto"/>
          <w:sz w:val="20"/>
          <w:szCs w:val="20"/>
        </w:rPr>
        <w:tab/>
      </w:r>
      <w:r w:rsidR="008751B7" w:rsidRPr="008751B7">
        <w:rPr>
          <w:rFonts w:ascii="Times New Roman" w:hAnsi="Times New Roman" w:cs="Times New Roman"/>
          <w:color w:val="auto"/>
          <w:sz w:val="20"/>
          <w:szCs w:val="20"/>
        </w:rPr>
        <w:tab/>
      </w:r>
      <w:r w:rsidR="008751B7" w:rsidRPr="008751B7">
        <w:rPr>
          <w:rFonts w:ascii="Times New Roman" w:hAnsi="Times New Roman" w:cs="Times New Roman"/>
          <w:color w:val="auto"/>
          <w:sz w:val="20"/>
          <w:szCs w:val="20"/>
        </w:rPr>
        <w:tab/>
        <w:t xml:space="preserve">        Figure </w:t>
      </w:r>
      <w:r w:rsidR="007F7F5C" w:rsidRPr="008751B7">
        <w:rPr>
          <w:rFonts w:ascii="Times New Roman" w:hAnsi="Times New Roman" w:cs="Times New Roman"/>
          <w:color w:val="auto"/>
          <w:sz w:val="20"/>
          <w:szCs w:val="20"/>
        </w:rPr>
        <w:fldChar w:fldCharType="begin"/>
      </w:r>
      <w:r w:rsidR="008751B7" w:rsidRPr="008751B7">
        <w:rPr>
          <w:rFonts w:ascii="Times New Roman" w:hAnsi="Times New Roman" w:cs="Times New Roman"/>
          <w:color w:val="auto"/>
          <w:sz w:val="20"/>
          <w:szCs w:val="20"/>
        </w:rPr>
        <w:instrText xml:space="preserve"> SEQ Figure \* ARABIC </w:instrText>
      </w:r>
      <w:r w:rsidR="007F7F5C" w:rsidRPr="008751B7">
        <w:rPr>
          <w:rFonts w:ascii="Times New Roman" w:hAnsi="Times New Roman" w:cs="Times New Roman"/>
          <w:color w:val="auto"/>
          <w:sz w:val="20"/>
          <w:szCs w:val="20"/>
        </w:rPr>
        <w:fldChar w:fldCharType="separate"/>
      </w:r>
      <w:r w:rsidR="008751B7" w:rsidRPr="008751B7">
        <w:rPr>
          <w:rFonts w:ascii="Times New Roman" w:hAnsi="Times New Roman" w:cs="Times New Roman"/>
          <w:noProof/>
          <w:color w:val="auto"/>
          <w:sz w:val="20"/>
          <w:szCs w:val="20"/>
        </w:rPr>
        <w:t>2</w:t>
      </w:r>
      <w:r w:rsidR="007F7F5C" w:rsidRPr="008751B7">
        <w:rPr>
          <w:rFonts w:ascii="Times New Roman" w:hAnsi="Times New Roman" w:cs="Times New Roman"/>
          <w:color w:val="auto"/>
          <w:sz w:val="20"/>
          <w:szCs w:val="20"/>
        </w:rPr>
        <w:fldChar w:fldCharType="end"/>
      </w:r>
      <w:r w:rsidR="008751B7" w:rsidRPr="008751B7">
        <w:rPr>
          <w:rFonts w:ascii="Times New Roman" w:hAnsi="Times New Roman" w:cs="Times New Roman"/>
          <w:color w:val="auto"/>
          <w:sz w:val="20"/>
          <w:szCs w:val="20"/>
        </w:rPr>
        <w:t>.1-2.</w:t>
      </w:r>
    </w:p>
    <w:p w:rsidR="008751B7" w:rsidRPr="00FC321E" w:rsidRDefault="008042BB" w:rsidP="005A11CF">
      <w:pPr>
        <w:pStyle w:val="Caption"/>
        <w:keepNext/>
        <w:spacing w:after="0"/>
        <w:rPr>
          <w:rFonts w:ascii="Times New Roman" w:hAnsi="Times New Roman" w:cs="Times New Roman"/>
          <w:color w:val="auto"/>
        </w:rPr>
      </w:pPr>
      <w:r w:rsidRPr="008751B7">
        <w:rPr>
          <w:rFonts w:ascii="Times New Roman" w:hAnsi="Times New Roman" w:cs="Times New Roman"/>
          <w:color w:val="auto"/>
          <w:sz w:val="20"/>
          <w:szCs w:val="20"/>
        </w:rPr>
        <w:t xml:space="preserve">Exact </w:t>
      </w:r>
      <w:r w:rsidR="004A3C10">
        <w:rPr>
          <w:rFonts w:ascii="Times New Roman" w:hAnsi="Times New Roman" w:cs="Times New Roman"/>
          <w:color w:val="auto"/>
          <w:sz w:val="20"/>
          <w:szCs w:val="20"/>
        </w:rPr>
        <w:t xml:space="preserve">administrative </w:t>
      </w:r>
      <w:r w:rsidR="00B40FA6" w:rsidRPr="008751B7">
        <w:rPr>
          <w:rFonts w:ascii="Times New Roman" w:hAnsi="Times New Roman" w:cs="Times New Roman"/>
          <w:color w:val="auto"/>
          <w:sz w:val="20"/>
          <w:szCs w:val="20"/>
        </w:rPr>
        <w:t>data condition</w:t>
      </w:r>
      <w:r w:rsidR="00FC321E" w:rsidRPr="008751B7">
        <w:rPr>
          <w:rFonts w:ascii="Times New Roman" w:hAnsi="Times New Roman" w:cs="Times New Roman"/>
          <w:color w:val="auto"/>
          <w:sz w:val="20"/>
          <w:szCs w:val="20"/>
        </w:rPr>
        <w:t xml:space="preserve">     </w:t>
      </w:r>
      <w:r w:rsidR="008751B7" w:rsidRPr="008751B7">
        <w:rPr>
          <w:rFonts w:ascii="Times New Roman" w:hAnsi="Times New Roman" w:cs="Times New Roman"/>
          <w:color w:val="auto"/>
          <w:sz w:val="20"/>
          <w:szCs w:val="20"/>
        </w:rPr>
        <w:t xml:space="preserve">                    </w:t>
      </w:r>
      <w:r w:rsidR="004A3C10">
        <w:rPr>
          <w:rFonts w:ascii="Times New Roman" w:hAnsi="Times New Roman" w:cs="Times New Roman"/>
          <w:color w:val="auto"/>
          <w:sz w:val="20"/>
          <w:szCs w:val="20"/>
        </w:rPr>
        <w:t xml:space="preserve">        </w:t>
      </w:r>
      <w:r w:rsidR="008751B7" w:rsidRPr="008751B7">
        <w:rPr>
          <w:rFonts w:ascii="Times New Roman" w:hAnsi="Times New Roman" w:cs="Times New Roman"/>
          <w:color w:val="auto"/>
          <w:sz w:val="20"/>
          <w:szCs w:val="20"/>
        </w:rPr>
        <w:t xml:space="preserve">No </w:t>
      </w:r>
      <w:r w:rsidR="004A3C10">
        <w:rPr>
          <w:rFonts w:ascii="Times New Roman" w:hAnsi="Times New Roman" w:cs="Times New Roman"/>
          <w:color w:val="auto"/>
          <w:sz w:val="20"/>
          <w:szCs w:val="20"/>
        </w:rPr>
        <w:t xml:space="preserve">administrative </w:t>
      </w:r>
      <w:r w:rsidR="008751B7" w:rsidRPr="008751B7">
        <w:rPr>
          <w:rFonts w:ascii="Times New Roman" w:hAnsi="Times New Roman" w:cs="Times New Roman"/>
          <w:color w:val="auto"/>
          <w:sz w:val="20"/>
          <w:szCs w:val="20"/>
        </w:rPr>
        <w:t>data condition</w:t>
      </w:r>
      <w:r w:rsidR="00FC321E">
        <w:rPr>
          <w:rFonts w:ascii="Times New Roman" w:hAnsi="Times New Roman" w:cs="Times New Roman"/>
          <w:color w:val="auto"/>
        </w:rPr>
        <w:t xml:space="preserve">    </w:t>
      </w:r>
      <w:r w:rsidR="00FD415C">
        <w:rPr>
          <w:rFonts w:ascii="Times New Roman" w:hAnsi="Times New Roman" w:cs="Times New Roman"/>
          <w:color w:val="auto"/>
        </w:rPr>
        <w:t xml:space="preserve">  </w:t>
      </w:r>
      <w:r w:rsidR="008751B7">
        <w:rPr>
          <w:rFonts w:ascii="Times New Roman" w:hAnsi="Times New Roman" w:cs="Times New Roman"/>
          <w:color w:val="auto"/>
        </w:rPr>
        <w:tab/>
      </w:r>
      <w:r w:rsidR="008751B7">
        <w:rPr>
          <w:rFonts w:ascii="Times New Roman" w:hAnsi="Times New Roman" w:cs="Times New Roman"/>
          <w:color w:val="auto"/>
        </w:rPr>
        <w:tab/>
      </w:r>
      <w:r w:rsidR="008751B7">
        <w:rPr>
          <w:rFonts w:ascii="Times New Roman" w:hAnsi="Times New Roman" w:cs="Times New Roman"/>
          <w:color w:val="auto"/>
        </w:rPr>
        <w:tab/>
      </w:r>
      <w:r w:rsidR="008751B7">
        <w:rPr>
          <w:rFonts w:ascii="Times New Roman" w:hAnsi="Times New Roman" w:cs="Times New Roman"/>
          <w:color w:val="auto"/>
        </w:rPr>
        <w:tab/>
        <w:t xml:space="preserve">                                                                                                  </w:t>
      </w:r>
    </w:p>
    <w:p w:rsidR="008751B7" w:rsidRDefault="00D90D5D" w:rsidP="00FC321E">
      <w:pPr>
        <w:pStyle w:val="Caption"/>
        <w:keepNext/>
        <w:rPr>
          <w:rFonts w:ascii="Times New Roman" w:hAnsi="Times New Roman" w:cs="Times New Roman"/>
          <w:color w:val="auto"/>
        </w:rPr>
      </w:pPr>
      <w:r>
        <w:rPr>
          <w:rFonts w:ascii="Times New Roman" w:hAnsi="Times New Roman" w:cs="Times New Roman"/>
          <w:noProof/>
          <w:color w:val="auto"/>
          <w:lang w:eastAsia="en-GB"/>
        </w:rPr>
        <w:drawing>
          <wp:inline distT="0" distB="0" distL="0" distR="0">
            <wp:extent cx="2393890" cy="1236016"/>
            <wp:effectExtent l="19050" t="0" r="64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95333" cy="1236761"/>
                    </a:xfrm>
                    <a:prstGeom prst="rect">
                      <a:avLst/>
                    </a:prstGeom>
                    <a:noFill/>
                  </pic:spPr>
                </pic:pic>
              </a:graphicData>
            </a:graphic>
          </wp:inline>
        </w:drawing>
      </w:r>
      <w:r w:rsidR="008751B7">
        <w:rPr>
          <w:rFonts w:ascii="Times New Roman" w:hAnsi="Times New Roman" w:cs="Times New Roman"/>
          <w:color w:val="auto"/>
        </w:rPr>
        <w:tab/>
      </w:r>
      <w:r>
        <w:rPr>
          <w:rFonts w:ascii="Times New Roman" w:hAnsi="Times New Roman" w:cs="Times New Roman"/>
          <w:color w:val="auto"/>
        </w:rPr>
        <w:t xml:space="preserve">     </w:t>
      </w:r>
      <w:r w:rsidR="00FD415C">
        <w:rPr>
          <w:rFonts w:ascii="Times New Roman" w:hAnsi="Times New Roman" w:cs="Times New Roman"/>
          <w:color w:val="auto"/>
        </w:rPr>
        <w:t xml:space="preserve">  </w:t>
      </w:r>
      <w:r>
        <w:rPr>
          <w:rFonts w:ascii="Times New Roman" w:hAnsi="Times New Roman" w:cs="Times New Roman"/>
          <w:noProof/>
          <w:color w:val="auto"/>
          <w:lang w:eastAsia="en-GB"/>
        </w:rPr>
        <w:drawing>
          <wp:inline distT="0" distB="0" distL="0" distR="0">
            <wp:extent cx="2476897" cy="128016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78411" cy="1280943"/>
                    </a:xfrm>
                    <a:prstGeom prst="rect">
                      <a:avLst/>
                    </a:prstGeom>
                    <a:noFill/>
                  </pic:spPr>
                </pic:pic>
              </a:graphicData>
            </a:graphic>
          </wp:inline>
        </w:drawing>
      </w:r>
      <w:r w:rsidR="00FD415C">
        <w:rPr>
          <w:rFonts w:ascii="Times New Roman" w:hAnsi="Times New Roman" w:cs="Times New Roman"/>
          <w:color w:val="auto"/>
        </w:rPr>
        <w:t xml:space="preserve">        </w:t>
      </w:r>
      <w:r w:rsidR="008751B7">
        <w:rPr>
          <w:rFonts w:ascii="Times New Roman" w:hAnsi="Times New Roman" w:cs="Times New Roman"/>
          <w:color w:val="auto"/>
        </w:rPr>
        <w:tab/>
      </w:r>
      <w:r w:rsidR="008751B7">
        <w:rPr>
          <w:rFonts w:ascii="Times New Roman" w:hAnsi="Times New Roman" w:cs="Times New Roman"/>
          <w:color w:val="auto"/>
        </w:rPr>
        <w:tab/>
        <w:t xml:space="preserve">   </w:t>
      </w:r>
    </w:p>
    <w:p w:rsidR="00FC321E" w:rsidRDefault="00FC321E" w:rsidP="002A11A2">
      <w:pPr>
        <w:spacing w:after="0" w:line="240" w:lineRule="auto"/>
      </w:pPr>
    </w:p>
    <w:p w:rsidR="00B40FA6" w:rsidRDefault="00B40FA6" w:rsidP="002A11A2">
      <w:pPr>
        <w:spacing w:after="0" w:line="240" w:lineRule="auto"/>
        <w:rPr>
          <w:rFonts w:ascii="Times New Roman" w:hAnsi="Times New Roman" w:cs="Times New Roman"/>
          <w:sz w:val="20"/>
          <w:szCs w:val="20"/>
        </w:rPr>
      </w:pPr>
    </w:p>
    <w:p w:rsidR="001E28D3" w:rsidRPr="005A11CF" w:rsidRDefault="001E28D3" w:rsidP="002A11A2">
      <w:pPr>
        <w:spacing w:after="0" w:line="240" w:lineRule="auto"/>
        <w:rPr>
          <w:rFonts w:ascii="Times New Roman" w:hAnsi="Times New Roman" w:cs="Times New Roman"/>
          <w:sz w:val="20"/>
          <w:szCs w:val="20"/>
        </w:rPr>
      </w:pPr>
    </w:p>
    <w:p w:rsidR="005A11CF" w:rsidRPr="005A11CF" w:rsidRDefault="00C95FD8" w:rsidP="00C95FD8">
      <w:pPr>
        <w:spacing w:after="0" w:line="240" w:lineRule="auto"/>
        <w:rPr>
          <w:rFonts w:ascii="Times New Roman" w:hAnsi="Times New Roman" w:cs="Times New Roman"/>
          <w:b/>
          <w:sz w:val="20"/>
          <w:szCs w:val="20"/>
        </w:rPr>
      </w:pPr>
      <w:r w:rsidRPr="005A11CF">
        <w:rPr>
          <w:rFonts w:ascii="Times New Roman" w:hAnsi="Times New Roman" w:cs="Times New Roman"/>
          <w:b/>
          <w:sz w:val="20"/>
          <w:szCs w:val="20"/>
        </w:rPr>
        <w:t>Figure 2.</w:t>
      </w:r>
      <w:r w:rsidR="007F7F5C" w:rsidRPr="005A11CF">
        <w:rPr>
          <w:rFonts w:ascii="Times New Roman" w:hAnsi="Times New Roman" w:cs="Times New Roman"/>
          <w:b/>
          <w:sz w:val="20"/>
          <w:szCs w:val="20"/>
        </w:rPr>
        <w:fldChar w:fldCharType="begin"/>
      </w:r>
      <w:r w:rsidRPr="005A11CF">
        <w:rPr>
          <w:rFonts w:ascii="Times New Roman" w:hAnsi="Times New Roman" w:cs="Times New Roman"/>
          <w:b/>
          <w:sz w:val="20"/>
          <w:szCs w:val="20"/>
        </w:rPr>
        <w:instrText xml:space="preserve"> SEQ Figure \* ARABIC </w:instrText>
      </w:r>
      <w:r w:rsidR="007F7F5C" w:rsidRPr="005A11CF">
        <w:rPr>
          <w:rFonts w:ascii="Times New Roman" w:hAnsi="Times New Roman" w:cs="Times New Roman"/>
          <w:b/>
          <w:sz w:val="20"/>
          <w:szCs w:val="20"/>
        </w:rPr>
        <w:fldChar w:fldCharType="separate"/>
      </w:r>
      <w:r w:rsidRPr="005A11CF">
        <w:rPr>
          <w:rFonts w:ascii="Times New Roman" w:hAnsi="Times New Roman" w:cs="Times New Roman"/>
          <w:b/>
          <w:noProof/>
          <w:sz w:val="20"/>
          <w:szCs w:val="20"/>
        </w:rPr>
        <w:t>1</w:t>
      </w:r>
      <w:r w:rsidR="007F7F5C" w:rsidRPr="005A11CF">
        <w:rPr>
          <w:rFonts w:ascii="Times New Roman" w:hAnsi="Times New Roman" w:cs="Times New Roman"/>
          <w:b/>
          <w:sz w:val="20"/>
          <w:szCs w:val="20"/>
        </w:rPr>
        <w:fldChar w:fldCharType="end"/>
      </w:r>
      <w:r w:rsidRPr="005A11CF">
        <w:rPr>
          <w:rFonts w:ascii="Times New Roman" w:hAnsi="Times New Roman" w:cs="Times New Roman"/>
          <w:b/>
          <w:sz w:val="20"/>
          <w:szCs w:val="20"/>
        </w:rPr>
        <w:t>-3</w:t>
      </w:r>
      <w:r w:rsidR="005A11CF" w:rsidRPr="005A11CF">
        <w:rPr>
          <w:rFonts w:ascii="Times New Roman" w:hAnsi="Times New Roman" w:cs="Times New Roman"/>
          <w:b/>
          <w:sz w:val="20"/>
          <w:szCs w:val="20"/>
        </w:rPr>
        <w:t>.</w:t>
      </w:r>
      <w:r w:rsidR="005A11CF">
        <w:rPr>
          <w:rFonts w:ascii="Times New Roman" w:hAnsi="Times New Roman" w:cs="Times New Roman"/>
          <w:b/>
          <w:sz w:val="20"/>
          <w:szCs w:val="20"/>
        </w:rPr>
        <w:t xml:space="preserve">                                                                     </w:t>
      </w:r>
      <w:r w:rsidR="005A11CF" w:rsidRPr="005A11CF">
        <w:rPr>
          <w:rFonts w:ascii="Times New Roman" w:hAnsi="Times New Roman" w:cs="Times New Roman"/>
          <w:b/>
          <w:sz w:val="20"/>
          <w:szCs w:val="20"/>
        </w:rPr>
        <w:t>Figure 2.</w:t>
      </w:r>
      <w:r w:rsidR="007F7F5C" w:rsidRPr="005A11CF">
        <w:rPr>
          <w:rFonts w:ascii="Times New Roman" w:hAnsi="Times New Roman" w:cs="Times New Roman"/>
          <w:b/>
          <w:sz w:val="20"/>
          <w:szCs w:val="20"/>
        </w:rPr>
        <w:fldChar w:fldCharType="begin"/>
      </w:r>
      <w:r w:rsidR="005A11CF" w:rsidRPr="005A11CF">
        <w:rPr>
          <w:rFonts w:ascii="Times New Roman" w:hAnsi="Times New Roman" w:cs="Times New Roman"/>
          <w:b/>
          <w:sz w:val="20"/>
          <w:szCs w:val="20"/>
        </w:rPr>
        <w:instrText xml:space="preserve"> SEQ Figure \* ARABIC </w:instrText>
      </w:r>
      <w:r w:rsidR="007F7F5C" w:rsidRPr="005A11CF">
        <w:rPr>
          <w:rFonts w:ascii="Times New Roman" w:hAnsi="Times New Roman" w:cs="Times New Roman"/>
          <w:b/>
          <w:sz w:val="20"/>
          <w:szCs w:val="20"/>
        </w:rPr>
        <w:fldChar w:fldCharType="separate"/>
      </w:r>
      <w:r w:rsidR="005A11CF" w:rsidRPr="005A11CF">
        <w:rPr>
          <w:rFonts w:ascii="Times New Roman" w:hAnsi="Times New Roman" w:cs="Times New Roman"/>
          <w:b/>
          <w:noProof/>
          <w:sz w:val="20"/>
          <w:szCs w:val="20"/>
        </w:rPr>
        <w:t>1</w:t>
      </w:r>
      <w:r w:rsidR="007F7F5C" w:rsidRPr="005A11CF">
        <w:rPr>
          <w:rFonts w:ascii="Times New Roman" w:hAnsi="Times New Roman" w:cs="Times New Roman"/>
          <w:b/>
          <w:sz w:val="20"/>
          <w:szCs w:val="20"/>
        </w:rPr>
        <w:fldChar w:fldCharType="end"/>
      </w:r>
      <w:r w:rsidR="005A11CF" w:rsidRPr="005A11CF">
        <w:rPr>
          <w:rFonts w:ascii="Times New Roman" w:hAnsi="Times New Roman" w:cs="Times New Roman"/>
          <w:b/>
          <w:sz w:val="20"/>
          <w:szCs w:val="20"/>
        </w:rPr>
        <w:t>-4.</w:t>
      </w:r>
    </w:p>
    <w:p w:rsidR="00C95FD8" w:rsidRPr="005A11CF" w:rsidRDefault="00C95FD8" w:rsidP="00C95FD8">
      <w:pPr>
        <w:spacing w:after="0" w:line="240" w:lineRule="auto"/>
        <w:rPr>
          <w:rFonts w:ascii="Times New Roman" w:hAnsi="Times New Roman" w:cs="Times New Roman"/>
          <w:b/>
          <w:sz w:val="20"/>
          <w:szCs w:val="20"/>
        </w:rPr>
      </w:pPr>
      <w:r w:rsidRPr="005A11CF">
        <w:rPr>
          <w:rFonts w:ascii="Times New Roman" w:hAnsi="Times New Roman" w:cs="Times New Roman"/>
          <w:b/>
          <w:sz w:val="20"/>
          <w:szCs w:val="20"/>
        </w:rPr>
        <w:t xml:space="preserve">+/- 3 years </w:t>
      </w:r>
      <w:r w:rsidR="004A3C10">
        <w:rPr>
          <w:rFonts w:ascii="Times New Roman" w:hAnsi="Times New Roman" w:cs="Times New Roman"/>
          <w:b/>
          <w:sz w:val="20"/>
          <w:szCs w:val="20"/>
        </w:rPr>
        <w:t xml:space="preserve">administrative </w:t>
      </w:r>
      <w:r w:rsidRPr="005A11CF">
        <w:rPr>
          <w:rFonts w:ascii="Times New Roman" w:hAnsi="Times New Roman" w:cs="Times New Roman"/>
          <w:b/>
          <w:sz w:val="20"/>
          <w:szCs w:val="20"/>
        </w:rPr>
        <w:t xml:space="preserve">data error condition             </w:t>
      </w:r>
      <w:r w:rsidR="005A11CF">
        <w:rPr>
          <w:rFonts w:ascii="Times New Roman" w:hAnsi="Times New Roman" w:cs="Times New Roman"/>
          <w:b/>
          <w:sz w:val="20"/>
          <w:szCs w:val="20"/>
        </w:rPr>
        <w:t xml:space="preserve">            </w:t>
      </w:r>
      <w:r w:rsidRPr="005A11CF">
        <w:rPr>
          <w:rFonts w:ascii="Times New Roman" w:hAnsi="Times New Roman" w:cs="Times New Roman"/>
          <w:b/>
          <w:sz w:val="20"/>
          <w:szCs w:val="20"/>
        </w:rPr>
        <w:t xml:space="preserve">+/- 6 years </w:t>
      </w:r>
      <w:r w:rsidR="004A3C10">
        <w:rPr>
          <w:rFonts w:ascii="Times New Roman" w:hAnsi="Times New Roman" w:cs="Times New Roman"/>
          <w:b/>
          <w:sz w:val="20"/>
          <w:szCs w:val="20"/>
        </w:rPr>
        <w:t xml:space="preserve">administrative </w:t>
      </w:r>
      <w:r w:rsidRPr="005A11CF">
        <w:rPr>
          <w:rFonts w:ascii="Times New Roman" w:hAnsi="Times New Roman" w:cs="Times New Roman"/>
          <w:b/>
          <w:sz w:val="20"/>
          <w:szCs w:val="20"/>
        </w:rPr>
        <w:t xml:space="preserve">data error condition                                          </w:t>
      </w:r>
    </w:p>
    <w:p w:rsidR="00C95FD8" w:rsidRPr="00C95FD8" w:rsidRDefault="00D90D5D" w:rsidP="002A11A2">
      <w:pPr>
        <w:spacing w:after="0" w:line="240" w:lineRule="auto"/>
        <w:rPr>
          <w:rFonts w:ascii="Times New Roman" w:hAnsi="Times New Roman" w:cs="Times New Roman"/>
          <w:b/>
          <w:sz w:val="18"/>
          <w:szCs w:val="18"/>
        </w:rPr>
      </w:pPr>
      <w:r>
        <w:rPr>
          <w:rFonts w:ascii="Times New Roman" w:hAnsi="Times New Roman" w:cs="Times New Roman"/>
          <w:b/>
          <w:noProof/>
          <w:sz w:val="18"/>
          <w:szCs w:val="18"/>
          <w:lang w:eastAsia="en-GB"/>
        </w:rPr>
        <w:drawing>
          <wp:inline distT="0" distB="0" distL="0" distR="0">
            <wp:extent cx="2440290" cy="1261242"/>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41784" cy="1262014"/>
                    </a:xfrm>
                    <a:prstGeom prst="rect">
                      <a:avLst/>
                    </a:prstGeom>
                    <a:noFill/>
                  </pic:spPr>
                </pic:pic>
              </a:graphicData>
            </a:graphic>
          </wp:inline>
        </w:drawing>
      </w:r>
      <w:r>
        <w:rPr>
          <w:rFonts w:ascii="Times New Roman" w:hAnsi="Times New Roman" w:cs="Times New Roman"/>
          <w:b/>
          <w:sz w:val="18"/>
          <w:szCs w:val="18"/>
        </w:rPr>
        <w:t xml:space="preserve">         </w:t>
      </w:r>
      <w:r w:rsidR="00C95FD8" w:rsidRPr="00C95FD8">
        <w:rPr>
          <w:rFonts w:ascii="Times New Roman" w:hAnsi="Times New Roman" w:cs="Times New Roman"/>
          <w:b/>
          <w:sz w:val="18"/>
          <w:szCs w:val="18"/>
        </w:rPr>
        <w:t xml:space="preserve">     </w:t>
      </w:r>
      <w:r>
        <w:rPr>
          <w:rFonts w:ascii="Times New Roman" w:hAnsi="Times New Roman" w:cs="Times New Roman"/>
          <w:b/>
          <w:noProof/>
          <w:sz w:val="18"/>
          <w:szCs w:val="18"/>
          <w:lang w:eastAsia="en-GB"/>
        </w:rPr>
        <w:drawing>
          <wp:inline distT="0" distB="0" distL="0" distR="0">
            <wp:extent cx="2440371" cy="1261282"/>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441863" cy="1262053"/>
                    </a:xfrm>
                    <a:prstGeom prst="rect">
                      <a:avLst/>
                    </a:prstGeom>
                    <a:noFill/>
                  </pic:spPr>
                </pic:pic>
              </a:graphicData>
            </a:graphic>
          </wp:inline>
        </w:drawing>
      </w:r>
      <w:r w:rsidR="00C95FD8" w:rsidRPr="00C95FD8">
        <w:rPr>
          <w:rFonts w:ascii="Times New Roman" w:hAnsi="Times New Roman" w:cs="Times New Roman"/>
          <w:b/>
          <w:sz w:val="18"/>
          <w:szCs w:val="18"/>
        </w:rPr>
        <w:t xml:space="preserve">      </w:t>
      </w:r>
    </w:p>
    <w:p w:rsidR="00481751" w:rsidRDefault="00481751" w:rsidP="002A11A2">
      <w:pPr>
        <w:spacing w:after="0" w:line="240" w:lineRule="auto"/>
        <w:rPr>
          <w:rFonts w:ascii="Times New Roman" w:hAnsi="Times New Roman" w:cs="Times New Roman"/>
          <w:sz w:val="20"/>
          <w:szCs w:val="20"/>
        </w:rPr>
      </w:pPr>
    </w:p>
    <w:p w:rsidR="00B02B0D" w:rsidRDefault="00B02B0D" w:rsidP="002A11A2">
      <w:pPr>
        <w:spacing w:after="0" w:line="240" w:lineRule="auto"/>
        <w:rPr>
          <w:rFonts w:ascii="Times New Roman" w:hAnsi="Times New Roman" w:cs="Times New Roman"/>
          <w:b/>
          <w:sz w:val="18"/>
          <w:szCs w:val="18"/>
        </w:rPr>
      </w:pPr>
    </w:p>
    <w:p w:rsidR="00B02B0D" w:rsidRDefault="00B02B0D" w:rsidP="002A11A2">
      <w:pPr>
        <w:spacing w:after="0" w:line="240" w:lineRule="auto"/>
        <w:rPr>
          <w:rFonts w:ascii="Times New Roman" w:hAnsi="Times New Roman" w:cs="Times New Roman"/>
          <w:b/>
          <w:sz w:val="18"/>
          <w:szCs w:val="18"/>
        </w:rPr>
      </w:pPr>
    </w:p>
    <w:p w:rsidR="005A11CF" w:rsidRPr="005A11CF" w:rsidRDefault="00B02B0D" w:rsidP="002A11A2">
      <w:pPr>
        <w:spacing w:after="0" w:line="240" w:lineRule="auto"/>
        <w:rPr>
          <w:rFonts w:ascii="Times New Roman" w:hAnsi="Times New Roman" w:cs="Times New Roman"/>
          <w:b/>
          <w:sz w:val="20"/>
          <w:szCs w:val="20"/>
        </w:rPr>
      </w:pPr>
      <w:r w:rsidRPr="005A11CF">
        <w:rPr>
          <w:rFonts w:ascii="Times New Roman" w:hAnsi="Times New Roman" w:cs="Times New Roman"/>
          <w:b/>
          <w:sz w:val="20"/>
          <w:szCs w:val="20"/>
        </w:rPr>
        <w:t>Figure 2.</w:t>
      </w:r>
      <w:r w:rsidR="007F7F5C" w:rsidRPr="005A11CF">
        <w:rPr>
          <w:rFonts w:ascii="Times New Roman" w:hAnsi="Times New Roman" w:cs="Times New Roman"/>
          <w:b/>
          <w:sz w:val="20"/>
          <w:szCs w:val="20"/>
        </w:rPr>
        <w:fldChar w:fldCharType="begin"/>
      </w:r>
      <w:r w:rsidRPr="005A11CF">
        <w:rPr>
          <w:rFonts w:ascii="Times New Roman" w:hAnsi="Times New Roman" w:cs="Times New Roman"/>
          <w:b/>
          <w:sz w:val="20"/>
          <w:szCs w:val="20"/>
        </w:rPr>
        <w:instrText xml:space="preserve"> SEQ Figure \* ARABIC </w:instrText>
      </w:r>
      <w:r w:rsidR="007F7F5C" w:rsidRPr="005A11CF">
        <w:rPr>
          <w:rFonts w:ascii="Times New Roman" w:hAnsi="Times New Roman" w:cs="Times New Roman"/>
          <w:b/>
          <w:sz w:val="20"/>
          <w:szCs w:val="20"/>
        </w:rPr>
        <w:fldChar w:fldCharType="separate"/>
      </w:r>
      <w:r w:rsidRPr="005A11CF">
        <w:rPr>
          <w:rFonts w:ascii="Times New Roman" w:hAnsi="Times New Roman" w:cs="Times New Roman"/>
          <w:b/>
          <w:noProof/>
          <w:sz w:val="20"/>
          <w:szCs w:val="20"/>
        </w:rPr>
        <w:t>1</w:t>
      </w:r>
      <w:r w:rsidR="007F7F5C" w:rsidRPr="005A11CF">
        <w:rPr>
          <w:rFonts w:ascii="Times New Roman" w:hAnsi="Times New Roman" w:cs="Times New Roman"/>
          <w:b/>
          <w:sz w:val="20"/>
          <w:szCs w:val="20"/>
        </w:rPr>
        <w:fldChar w:fldCharType="end"/>
      </w:r>
      <w:r w:rsidRPr="005A11CF">
        <w:rPr>
          <w:rFonts w:ascii="Times New Roman" w:hAnsi="Times New Roman" w:cs="Times New Roman"/>
          <w:b/>
          <w:sz w:val="20"/>
          <w:szCs w:val="20"/>
        </w:rPr>
        <w:t xml:space="preserve">-5. </w:t>
      </w:r>
    </w:p>
    <w:p w:rsidR="00170E68" w:rsidRPr="005A11CF" w:rsidRDefault="00B02B0D" w:rsidP="002A11A2">
      <w:pPr>
        <w:spacing w:after="0" w:line="240" w:lineRule="auto"/>
        <w:rPr>
          <w:rFonts w:ascii="Times New Roman" w:hAnsi="Times New Roman" w:cs="Times New Roman"/>
          <w:sz w:val="20"/>
          <w:szCs w:val="20"/>
        </w:rPr>
      </w:pPr>
      <w:r w:rsidRPr="005A11CF">
        <w:rPr>
          <w:rFonts w:ascii="Times New Roman" w:hAnsi="Times New Roman" w:cs="Times New Roman"/>
          <w:b/>
          <w:sz w:val="20"/>
          <w:szCs w:val="20"/>
        </w:rPr>
        <w:t xml:space="preserve">+/- 12 years </w:t>
      </w:r>
      <w:r w:rsidR="004A3C10">
        <w:rPr>
          <w:rFonts w:ascii="Times New Roman" w:hAnsi="Times New Roman" w:cs="Times New Roman"/>
          <w:b/>
          <w:sz w:val="20"/>
          <w:szCs w:val="20"/>
        </w:rPr>
        <w:t xml:space="preserve">administrative </w:t>
      </w:r>
      <w:r w:rsidRPr="005A11CF">
        <w:rPr>
          <w:rFonts w:ascii="Times New Roman" w:hAnsi="Times New Roman" w:cs="Times New Roman"/>
          <w:b/>
          <w:sz w:val="20"/>
          <w:szCs w:val="20"/>
        </w:rPr>
        <w:t xml:space="preserve">data error condition                                          </w:t>
      </w:r>
    </w:p>
    <w:p w:rsidR="00170E68" w:rsidRDefault="00D90D5D" w:rsidP="002A11A2">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extent cx="2440371" cy="1261282"/>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441942" cy="1262094"/>
                    </a:xfrm>
                    <a:prstGeom prst="rect">
                      <a:avLst/>
                    </a:prstGeom>
                    <a:noFill/>
                  </pic:spPr>
                </pic:pic>
              </a:graphicData>
            </a:graphic>
          </wp:inline>
        </w:drawing>
      </w:r>
    </w:p>
    <w:p w:rsidR="00B73C91" w:rsidRDefault="00B73C91" w:rsidP="002A11A2">
      <w:pPr>
        <w:spacing w:after="0" w:line="240" w:lineRule="auto"/>
        <w:rPr>
          <w:rFonts w:ascii="Times New Roman" w:hAnsi="Times New Roman" w:cs="Times New Roman"/>
          <w:sz w:val="20"/>
          <w:szCs w:val="20"/>
        </w:rPr>
      </w:pPr>
    </w:p>
    <w:p w:rsidR="00B73C91" w:rsidRDefault="00B73C91" w:rsidP="002A11A2">
      <w:pPr>
        <w:spacing w:after="0" w:line="240" w:lineRule="auto"/>
        <w:rPr>
          <w:rFonts w:ascii="Times New Roman" w:hAnsi="Times New Roman" w:cs="Times New Roman"/>
          <w:sz w:val="20"/>
          <w:szCs w:val="20"/>
        </w:rPr>
      </w:pPr>
    </w:p>
    <w:p w:rsidR="00F46394" w:rsidRPr="005A11CF" w:rsidRDefault="00EC42DD" w:rsidP="005A11CF">
      <w:pPr>
        <w:pStyle w:val="Caption"/>
        <w:keepNext/>
        <w:spacing w:after="0"/>
        <w:rPr>
          <w:rFonts w:ascii="Times New Roman" w:hAnsi="Times New Roman" w:cs="Times New Roman"/>
          <w:color w:val="auto"/>
          <w:sz w:val="20"/>
          <w:szCs w:val="20"/>
        </w:rPr>
      </w:pPr>
      <w:r w:rsidRPr="005A11CF">
        <w:rPr>
          <w:rFonts w:ascii="Times New Roman" w:hAnsi="Times New Roman" w:cs="Times New Roman"/>
          <w:color w:val="auto"/>
          <w:sz w:val="20"/>
          <w:szCs w:val="20"/>
        </w:rPr>
        <w:t>Table 2.1-</w:t>
      </w:r>
      <w:r w:rsidR="007F7F5C" w:rsidRPr="005A11CF">
        <w:rPr>
          <w:rFonts w:ascii="Times New Roman" w:hAnsi="Times New Roman" w:cs="Times New Roman"/>
          <w:color w:val="auto"/>
          <w:sz w:val="20"/>
          <w:szCs w:val="20"/>
        </w:rPr>
        <w:fldChar w:fldCharType="begin"/>
      </w:r>
      <w:r w:rsidRPr="005A11CF">
        <w:rPr>
          <w:rFonts w:ascii="Times New Roman" w:hAnsi="Times New Roman" w:cs="Times New Roman"/>
          <w:color w:val="auto"/>
          <w:sz w:val="20"/>
          <w:szCs w:val="20"/>
        </w:rPr>
        <w:instrText xml:space="preserve"> SEQ Table \* ARABIC </w:instrText>
      </w:r>
      <w:r w:rsidR="007F7F5C" w:rsidRPr="005A11CF">
        <w:rPr>
          <w:rFonts w:ascii="Times New Roman" w:hAnsi="Times New Roman" w:cs="Times New Roman"/>
          <w:color w:val="auto"/>
          <w:sz w:val="20"/>
          <w:szCs w:val="20"/>
        </w:rPr>
        <w:fldChar w:fldCharType="separate"/>
      </w:r>
      <w:r w:rsidRPr="005A11CF">
        <w:rPr>
          <w:rFonts w:ascii="Times New Roman" w:hAnsi="Times New Roman" w:cs="Times New Roman"/>
          <w:noProof/>
          <w:color w:val="auto"/>
          <w:sz w:val="20"/>
          <w:szCs w:val="20"/>
        </w:rPr>
        <w:t>1</w:t>
      </w:r>
      <w:r w:rsidR="007F7F5C" w:rsidRPr="005A11CF">
        <w:rPr>
          <w:rFonts w:ascii="Times New Roman" w:hAnsi="Times New Roman" w:cs="Times New Roman"/>
          <w:color w:val="auto"/>
          <w:sz w:val="20"/>
          <w:szCs w:val="20"/>
        </w:rPr>
        <w:fldChar w:fldCharType="end"/>
      </w:r>
      <w:r w:rsidRPr="005A11CF">
        <w:rPr>
          <w:rFonts w:ascii="Times New Roman" w:hAnsi="Times New Roman" w:cs="Times New Roman"/>
          <w:color w:val="auto"/>
          <w:sz w:val="20"/>
          <w:szCs w:val="20"/>
        </w:rPr>
        <w:t xml:space="preserve">. </w:t>
      </w:r>
    </w:p>
    <w:p w:rsidR="00EC42DD" w:rsidRPr="005A11CF" w:rsidRDefault="00EC42DD" w:rsidP="00EC42DD">
      <w:pPr>
        <w:pStyle w:val="Caption"/>
        <w:keepNext/>
        <w:rPr>
          <w:rFonts w:ascii="Times New Roman" w:hAnsi="Times New Roman" w:cs="Times New Roman"/>
          <w:color w:val="auto"/>
          <w:sz w:val="20"/>
          <w:szCs w:val="20"/>
        </w:rPr>
      </w:pPr>
      <w:r w:rsidRPr="005A11CF">
        <w:rPr>
          <w:rFonts w:ascii="Times New Roman" w:hAnsi="Times New Roman" w:cs="Times New Roman"/>
          <w:color w:val="auto"/>
          <w:sz w:val="20"/>
          <w:szCs w:val="20"/>
        </w:rPr>
        <w:t>Summary statistics for the error in</w:t>
      </w:r>
      <w:r w:rsidR="00E468E5">
        <w:rPr>
          <w:rFonts w:ascii="Times New Roman" w:hAnsi="Times New Roman" w:cs="Times New Roman"/>
          <w:color w:val="auto"/>
          <w:sz w:val="20"/>
          <w:szCs w:val="20"/>
        </w:rPr>
        <w:t xml:space="preserve"> the</w:t>
      </w:r>
      <w:r w:rsidRPr="005A11CF">
        <w:rPr>
          <w:rFonts w:ascii="Times New Roman" w:hAnsi="Times New Roman" w:cs="Times New Roman"/>
          <w:color w:val="auto"/>
          <w:sz w:val="20"/>
          <w:szCs w:val="20"/>
        </w:rPr>
        <w:t xml:space="preserve"> imputed age compared with </w:t>
      </w:r>
      <w:r w:rsidR="00E468E5">
        <w:rPr>
          <w:rFonts w:ascii="Times New Roman" w:hAnsi="Times New Roman" w:cs="Times New Roman"/>
          <w:color w:val="auto"/>
          <w:sz w:val="20"/>
          <w:szCs w:val="20"/>
        </w:rPr>
        <w:t xml:space="preserve">the </w:t>
      </w:r>
      <w:r w:rsidRPr="005A11CF">
        <w:rPr>
          <w:rFonts w:ascii="Times New Roman" w:hAnsi="Times New Roman" w:cs="Times New Roman"/>
          <w:color w:val="auto"/>
          <w:sz w:val="20"/>
          <w:szCs w:val="20"/>
        </w:rPr>
        <w:t>true age for the no admin data and exact admin data conditions</w:t>
      </w:r>
    </w:p>
    <w:tbl>
      <w:tblPr>
        <w:tblW w:w="6909" w:type="dxa"/>
        <w:tblInd w:w="108" w:type="dxa"/>
        <w:tblLook w:val="04A0"/>
      </w:tblPr>
      <w:tblGrid>
        <w:gridCol w:w="1116"/>
        <w:gridCol w:w="1089"/>
        <w:gridCol w:w="973"/>
        <w:gridCol w:w="835"/>
        <w:gridCol w:w="1116"/>
        <w:gridCol w:w="855"/>
        <w:gridCol w:w="925"/>
      </w:tblGrid>
      <w:tr w:rsidR="00B73C91" w:rsidRPr="00B73C91" w:rsidTr="00201D6E">
        <w:trPr>
          <w:trHeight w:val="300"/>
        </w:trPr>
        <w:tc>
          <w:tcPr>
            <w:tcW w:w="1116" w:type="dxa"/>
            <w:tcBorders>
              <w:top w:val="single" w:sz="4" w:space="0" w:color="auto"/>
              <w:left w:val="nil"/>
              <w:bottom w:val="nil"/>
              <w:right w:val="nil"/>
            </w:tcBorders>
            <w:shd w:val="clear" w:color="auto" w:fill="auto"/>
            <w:noWrap/>
            <w:vAlign w:val="bottom"/>
            <w:hideMark/>
          </w:tcPr>
          <w:p w:rsidR="00B73C91" w:rsidRPr="00B73C91" w:rsidRDefault="00B73C91" w:rsidP="00B73C91">
            <w:pPr>
              <w:spacing w:after="0" w:line="240" w:lineRule="auto"/>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 </w:t>
            </w:r>
          </w:p>
        </w:tc>
        <w:tc>
          <w:tcPr>
            <w:tcW w:w="2897" w:type="dxa"/>
            <w:gridSpan w:val="3"/>
            <w:tcBorders>
              <w:top w:val="single" w:sz="4" w:space="0" w:color="auto"/>
              <w:left w:val="nil"/>
              <w:bottom w:val="nil"/>
              <w:right w:val="nil"/>
            </w:tcBorders>
            <w:shd w:val="clear" w:color="auto" w:fill="auto"/>
            <w:noWrap/>
            <w:vAlign w:val="bottom"/>
            <w:hideMark/>
          </w:tcPr>
          <w:p w:rsidR="00B73C91" w:rsidRPr="00B73C91" w:rsidRDefault="00B73C91" w:rsidP="00B73C91">
            <w:pPr>
              <w:spacing w:after="0" w:line="240" w:lineRule="auto"/>
              <w:jc w:val="center"/>
              <w:rPr>
                <w:rFonts w:ascii="Times New Roman" w:eastAsia="Times New Roman" w:hAnsi="Times New Roman" w:cs="Times New Roman"/>
                <w:b/>
                <w:bCs/>
                <w:color w:val="000000"/>
                <w:sz w:val="20"/>
                <w:szCs w:val="20"/>
                <w:lang w:eastAsia="en-GB"/>
              </w:rPr>
            </w:pPr>
            <w:r w:rsidRPr="00B73C91">
              <w:rPr>
                <w:rFonts w:ascii="Times New Roman" w:eastAsia="Times New Roman" w:hAnsi="Times New Roman" w:cs="Times New Roman"/>
                <w:b/>
                <w:bCs/>
                <w:color w:val="000000"/>
                <w:sz w:val="20"/>
                <w:szCs w:val="20"/>
                <w:lang w:eastAsia="en-GB"/>
              </w:rPr>
              <w:t xml:space="preserve">No </w:t>
            </w:r>
            <w:r>
              <w:rPr>
                <w:rFonts w:ascii="Times New Roman" w:eastAsia="Times New Roman" w:hAnsi="Times New Roman" w:cs="Times New Roman"/>
                <w:b/>
                <w:bCs/>
                <w:color w:val="000000"/>
                <w:sz w:val="20"/>
                <w:szCs w:val="20"/>
                <w:lang w:eastAsia="en-GB"/>
              </w:rPr>
              <w:t>a</w:t>
            </w:r>
            <w:r w:rsidRPr="00B73C91">
              <w:rPr>
                <w:rFonts w:ascii="Times New Roman" w:eastAsia="Times New Roman" w:hAnsi="Times New Roman" w:cs="Times New Roman"/>
                <w:b/>
                <w:bCs/>
                <w:color w:val="000000"/>
                <w:sz w:val="20"/>
                <w:szCs w:val="20"/>
                <w:lang w:eastAsia="en-GB"/>
              </w:rPr>
              <w:t>dmin</w:t>
            </w:r>
            <w:r>
              <w:rPr>
                <w:rFonts w:ascii="Times New Roman" w:eastAsia="Times New Roman" w:hAnsi="Times New Roman" w:cs="Times New Roman"/>
                <w:b/>
                <w:bCs/>
                <w:color w:val="000000"/>
                <w:sz w:val="20"/>
                <w:szCs w:val="20"/>
                <w:lang w:eastAsia="en-GB"/>
              </w:rPr>
              <w:t xml:space="preserve"> data</w:t>
            </w:r>
          </w:p>
        </w:tc>
        <w:tc>
          <w:tcPr>
            <w:tcW w:w="2896" w:type="dxa"/>
            <w:gridSpan w:val="3"/>
            <w:tcBorders>
              <w:top w:val="single" w:sz="4" w:space="0" w:color="auto"/>
              <w:left w:val="nil"/>
              <w:bottom w:val="nil"/>
              <w:right w:val="nil"/>
            </w:tcBorders>
            <w:shd w:val="clear" w:color="auto" w:fill="auto"/>
            <w:noWrap/>
            <w:vAlign w:val="bottom"/>
            <w:hideMark/>
          </w:tcPr>
          <w:p w:rsidR="00B73C91" w:rsidRPr="00B73C91" w:rsidRDefault="00B73C91" w:rsidP="00B73C91">
            <w:pPr>
              <w:spacing w:after="0" w:line="240" w:lineRule="auto"/>
              <w:jc w:val="center"/>
              <w:rPr>
                <w:rFonts w:ascii="Times New Roman" w:eastAsia="Times New Roman" w:hAnsi="Times New Roman" w:cs="Times New Roman"/>
                <w:b/>
                <w:bCs/>
                <w:color w:val="000000"/>
                <w:sz w:val="20"/>
                <w:szCs w:val="20"/>
                <w:lang w:eastAsia="en-GB"/>
              </w:rPr>
            </w:pPr>
            <w:r w:rsidRPr="00B73C91">
              <w:rPr>
                <w:rFonts w:ascii="Times New Roman" w:eastAsia="Times New Roman" w:hAnsi="Times New Roman" w:cs="Times New Roman"/>
                <w:b/>
                <w:bCs/>
                <w:color w:val="000000"/>
                <w:sz w:val="20"/>
                <w:szCs w:val="20"/>
                <w:lang w:eastAsia="en-GB"/>
              </w:rPr>
              <w:t>Exact admin</w:t>
            </w:r>
            <w:r>
              <w:rPr>
                <w:rFonts w:ascii="Times New Roman" w:eastAsia="Times New Roman" w:hAnsi="Times New Roman" w:cs="Times New Roman"/>
                <w:b/>
                <w:bCs/>
                <w:color w:val="000000"/>
                <w:sz w:val="20"/>
                <w:szCs w:val="20"/>
                <w:lang w:eastAsia="en-GB"/>
              </w:rPr>
              <w:t xml:space="preserve"> data</w:t>
            </w:r>
          </w:p>
        </w:tc>
      </w:tr>
      <w:tr w:rsidR="00B73C91" w:rsidRPr="00B73C91" w:rsidTr="00201D6E">
        <w:trPr>
          <w:trHeight w:val="300"/>
        </w:trPr>
        <w:tc>
          <w:tcPr>
            <w:tcW w:w="1116" w:type="dxa"/>
            <w:tcBorders>
              <w:top w:val="nil"/>
              <w:left w:val="nil"/>
              <w:bottom w:val="single" w:sz="4" w:space="0" w:color="auto"/>
              <w:right w:val="nil"/>
            </w:tcBorders>
            <w:shd w:val="clear" w:color="auto" w:fill="auto"/>
            <w:hideMark/>
          </w:tcPr>
          <w:p w:rsidR="00B73C91" w:rsidRPr="00B73C91" w:rsidRDefault="00B73C91" w:rsidP="00B73C91">
            <w:pPr>
              <w:spacing w:after="0" w:line="240" w:lineRule="auto"/>
              <w:jc w:val="center"/>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 </w:t>
            </w:r>
          </w:p>
        </w:tc>
        <w:tc>
          <w:tcPr>
            <w:tcW w:w="1089" w:type="dxa"/>
            <w:tcBorders>
              <w:top w:val="nil"/>
              <w:left w:val="nil"/>
              <w:bottom w:val="single" w:sz="4" w:space="0" w:color="auto"/>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b/>
                <w:bCs/>
                <w:i/>
                <w:iCs/>
                <w:color w:val="000000"/>
                <w:sz w:val="20"/>
                <w:szCs w:val="20"/>
                <w:lang w:eastAsia="en-GB"/>
              </w:rPr>
            </w:pPr>
            <w:r w:rsidRPr="00B73C91">
              <w:rPr>
                <w:rFonts w:ascii="Times New Roman" w:eastAsia="Times New Roman" w:hAnsi="Times New Roman" w:cs="Times New Roman"/>
                <w:b/>
                <w:bCs/>
                <w:i/>
                <w:iCs/>
                <w:color w:val="000000"/>
                <w:sz w:val="20"/>
                <w:szCs w:val="20"/>
                <w:lang w:eastAsia="en-GB"/>
              </w:rPr>
              <w:t>Estimate</w:t>
            </w:r>
          </w:p>
        </w:tc>
        <w:tc>
          <w:tcPr>
            <w:tcW w:w="1808" w:type="dxa"/>
            <w:gridSpan w:val="2"/>
            <w:tcBorders>
              <w:top w:val="nil"/>
              <w:left w:val="nil"/>
              <w:bottom w:val="single" w:sz="4" w:space="0" w:color="auto"/>
              <w:right w:val="nil"/>
            </w:tcBorders>
            <w:shd w:val="clear" w:color="auto" w:fill="auto"/>
            <w:hideMark/>
          </w:tcPr>
          <w:p w:rsidR="00B73C91" w:rsidRPr="00B73C91" w:rsidRDefault="00B73C91" w:rsidP="00B73C91">
            <w:pPr>
              <w:spacing w:after="0" w:line="240" w:lineRule="auto"/>
              <w:jc w:val="center"/>
              <w:rPr>
                <w:rFonts w:ascii="Times New Roman" w:eastAsia="Times New Roman" w:hAnsi="Times New Roman" w:cs="Times New Roman"/>
                <w:b/>
                <w:bCs/>
                <w:i/>
                <w:iCs/>
                <w:color w:val="000000"/>
                <w:sz w:val="20"/>
                <w:szCs w:val="20"/>
                <w:lang w:eastAsia="en-GB"/>
              </w:rPr>
            </w:pPr>
            <w:r w:rsidRPr="00B73C91">
              <w:rPr>
                <w:rFonts w:ascii="Times New Roman" w:eastAsia="Times New Roman" w:hAnsi="Times New Roman" w:cs="Times New Roman"/>
                <w:b/>
                <w:bCs/>
                <w:i/>
                <w:iCs/>
                <w:color w:val="000000"/>
                <w:sz w:val="20"/>
                <w:szCs w:val="20"/>
                <w:lang w:eastAsia="en-GB"/>
              </w:rPr>
              <w:t>95% Confidence Limits</w:t>
            </w:r>
          </w:p>
        </w:tc>
        <w:tc>
          <w:tcPr>
            <w:tcW w:w="1116" w:type="dxa"/>
            <w:tcBorders>
              <w:top w:val="nil"/>
              <w:left w:val="nil"/>
              <w:bottom w:val="single" w:sz="4" w:space="0" w:color="auto"/>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b/>
                <w:bCs/>
                <w:i/>
                <w:iCs/>
                <w:color w:val="000000"/>
                <w:sz w:val="20"/>
                <w:szCs w:val="20"/>
                <w:lang w:eastAsia="en-GB"/>
              </w:rPr>
            </w:pPr>
            <w:r w:rsidRPr="00B73C91">
              <w:rPr>
                <w:rFonts w:ascii="Times New Roman" w:eastAsia="Times New Roman" w:hAnsi="Times New Roman" w:cs="Times New Roman"/>
                <w:b/>
                <w:bCs/>
                <w:i/>
                <w:iCs/>
                <w:color w:val="000000"/>
                <w:sz w:val="20"/>
                <w:szCs w:val="20"/>
                <w:lang w:eastAsia="en-GB"/>
              </w:rPr>
              <w:t>Estimate</w:t>
            </w:r>
          </w:p>
        </w:tc>
        <w:tc>
          <w:tcPr>
            <w:tcW w:w="1780" w:type="dxa"/>
            <w:gridSpan w:val="2"/>
            <w:tcBorders>
              <w:top w:val="nil"/>
              <w:left w:val="nil"/>
              <w:bottom w:val="single" w:sz="4" w:space="0" w:color="auto"/>
              <w:right w:val="nil"/>
            </w:tcBorders>
            <w:shd w:val="clear" w:color="auto" w:fill="auto"/>
            <w:hideMark/>
          </w:tcPr>
          <w:p w:rsidR="00B73C91" w:rsidRPr="00B73C91" w:rsidRDefault="00B73C91" w:rsidP="00B73C91">
            <w:pPr>
              <w:spacing w:after="0" w:line="240" w:lineRule="auto"/>
              <w:jc w:val="center"/>
              <w:rPr>
                <w:rFonts w:ascii="Times New Roman" w:eastAsia="Times New Roman" w:hAnsi="Times New Roman" w:cs="Times New Roman"/>
                <w:b/>
                <w:bCs/>
                <w:i/>
                <w:iCs/>
                <w:color w:val="000000"/>
                <w:sz w:val="20"/>
                <w:szCs w:val="20"/>
                <w:lang w:eastAsia="en-GB"/>
              </w:rPr>
            </w:pPr>
            <w:r w:rsidRPr="00B73C91">
              <w:rPr>
                <w:rFonts w:ascii="Times New Roman" w:eastAsia="Times New Roman" w:hAnsi="Times New Roman" w:cs="Times New Roman"/>
                <w:b/>
                <w:bCs/>
                <w:i/>
                <w:iCs/>
                <w:color w:val="000000"/>
                <w:sz w:val="20"/>
                <w:szCs w:val="20"/>
                <w:lang w:eastAsia="en-GB"/>
              </w:rPr>
              <w:t>95% Confidence Limits</w:t>
            </w:r>
          </w:p>
        </w:tc>
      </w:tr>
      <w:tr w:rsidR="00B73C91" w:rsidRPr="00B73C91" w:rsidTr="00201D6E">
        <w:trPr>
          <w:trHeight w:val="300"/>
        </w:trPr>
        <w:tc>
          <w:tcPr>
            <w:tcW w:w="1116" w:type="dxa"/>
            <w:tcBorders>
              <w:top w:val="nil"/>
              <w:left w:val="nil"/>
              <w:bottom w:val="nil"/>
              <w:right w:val="nil"/>
            </w:tcBorders>
            <w:shd w:val="clear" w:color="auto" w:fill="auto"/>
            <w:hideMark/>
          </w:tcPr>
          <w:p w:rsidR="00B73C91" w:rsidRPr="00B73C91" w:rsidRDefault="00B73C91" w:rsidP="00B73C91">
            <w:pPr>
              <w:spacing w:after="0" w:line="240" w:lineRule="auto"/>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Mean</w:t>
            </w:r>
          </w:p>
        </w:tc>
        <w:tc>
          <w:tcPr>
            <w:tcW w:w="1089" w:type="dxa"/>
            <w:tcBorders>
              <w:top w:val="nil"/>
              <w:left w:val="nil"/>
              <w:bottom w:val="nil"/>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0.14</w:t>
            </w:r>
          </w:p>
        </w:tc>
        <w:tc>
          <w:tcPr>
            <w:tcW w:w="973" w:type="dxa"/>
            <w:tcBorders>
              <w:top w:val="nil"/>
              <w:left w:val="nil"/>
              <w:bottom w:val="nil"/>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0.10</w:t>
            </w:r>
          </w:p>
        </w:tc>
        <w:tc>
          <w:tcPr>
            <w:tcW w:w="835" w:type="dxa"/>
            <w:tcBorders>
              <w:top w:val="nil"/>
              <w:left w:val="nil"/>
              <w:bottom w:val="nil"/>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0.19</w:t>
            </w:r>
          </w:p>
        </w:tc>
        <w:tc>
          <w:tcPr>
            <w:tcW w:w="1116" w:type="dxa"/>
            <w:tcBorders>
              <w:top w:val="nil"/>
              <w:left w:val="nil"/>
              <w:bottom w:val="nil"/>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0.21</w:t>
            </w:r>
          </w:p>
        </w:tc>
        <w:tc>
          <w:tcPr>
            <w:tcW w:w="855" w:type="dxa"/>
            <w:tcBorders>
              <w:top w:val="nil"/>
              <w:left w:val="nil"/>
              <w:bottom w:val="nil"/>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0.18</w:t>
            </w:r>
          </w:p>
        </w:tc>
        <w:tc>
          <w:tcPr>
            <w:tcW w:w="925" w:type="dxa"/>
            <w:tcBorders>
              <w:top w:val="nil"/>
              <w:left w:val="nil"/>
              <w:bottom w:val="nil"/>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0.23</w:t>
            </w:r>
          </w:p>
        </w:tc>
      </w:tr>
      <w:tr w:rsidR="00B73C91" w:rsidRPr="00B73C91" w:rsidTr="00201D6E">
        <w:trPr>
          <w:trHeight w:val="600"/>
        </w:trPr>
        <w:tc>
          <w:tcPr>
            <w:tcW w:w="1116" w:type="dxa"/>
            <w:tcBorders>
              <w:top w:val="nil"/>
              <w:left w:val="nil"/>
              <w:bottom w:val="nil"/>
              <w:right w:val="nil"/>
            </w:tcBorders>
            <w:shd w:val="clear" w:color="auto" w:fill="auto"/>
            <w:hideMark/>
          </w:tcPr>
          <w:p w:rsidR="00B73C91" w:rsidRPr="00B73C91" w:rsidRDefault="00B73C91" w:rsidP="00B73C91">
            <w:pPr>
              <w:spacing w:after="0" w:line="240" w:lineRule="auto"/>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Std Deviation</w:t>
            </w:r>
          </w:p>
        </w:tc>
        <w:tc>
          <w:tcPr>
            <w:tcW w:w="1089" w:type="dxa"/>
            <w:tcBorders>
              <w:top w:val="nil"/>
              <w:left w:val="nil"/>
              <w:bottom w:val="nil"/>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11.89</w:t>
            </w:r>
          </w:p>
        </w:tc>
        <w:tc>
          <w:tcPr>
            <w:tcW w:w="973" w:type="dxa"/>
            <w:tcBorders>
              <w:top w:val="nil"/>
              <w:left w:val="nil"/>
              <w:bottom w:val="nil"/>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835" w:type="dxa"/>
            <w:tcBorders>
              <w:top w:val="nil"/>
              <w:left w:val="nil"/>
              <w:bottom w:val="nil"/>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1116" w:type="dxa"/>
            <w:tcBorders>
              <w:top w:val="nil"/>
              <w:left w:val="nil"/>
              <w:bottom w:val="nil"/>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3.17</w:t>
            </w:r>
          </w:p>
        </w:tc>
        <w:tc>
          <w:tcPr>
            <w:tcW w:w="855" w:type="dxa"/>
            <w:tcBorders>
              <w:top w:val="nil"/>
              <w:left w:val="nil"/>
              <w:bottom w:val="nil"/>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25" w:type="dxa"/>
            <w:tcBorders>
              <w:top w:val="nil"/>
              <w:left w:val="nil"/>
              <w:bottom w:val="nil"/>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r>
      <w:tr w:rsidR="00B73C91" w:rsidRPr="00B73C91" w:rsidTr="00201D6E">
        <w:trPr>
          <w:trHeight w:val="300"/>
        </w:trPr>
        <w:tc>
          <w:tcPr>
            <w:tcW w:w="1116" w:type="dxa"/>
            <w:tcBorders>
              <w:top w:val="nil"/>
              <w:left w:val="nil"/>
              <w:bottom w:val="single" w:sz="4" w:space="0" w:color="auto"/>
              <w:right w:val="nil"/>
            </w:tcBorders>
            <w:shd w:val="clear" w:color="auto" w:fill="auto"/>
            <w:hideMark/>
          </w:tcPr>
          <w:p w:rsidR="00B73C91" w:rsidRPr="00B73C91" w:rsidRDefault="00B73C91" w:rsidP="00B73C91">
            <w:pPr>
              <w:spacing w:after="0" w:line="240" w:lineRule="auto"/>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Variance</w:t>
            </w:r>
          </w:p>
        </w:tc>
        <w:tc>
          <w:tcPr>
            <w:tcW w:w="1089" w:type="dxa"/>
            <w:tcBorders>
              <w:top w:val="nil"/>
              <w:left w:val="nil"/>
              <w:bottom w:val="single" w:sz="4" w:space="0" w:color="auto"/>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141.38</w:t>
            </w:r>
          </w:p>
        </w:tc>
        <w:tc>
          <w:tcPr>
            <w:tcW w:w="973" w:type="dxa"/>
            <w:tcBorders>
              <w:top w:val="nil"/>
              <w:left w:val="nil"/>
              <w:bottom w:val="single" w:sz="4" w:space="0" w:color="auto"/>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835" w:type="dxa"/>
            <w:tcBorders>
              <w:top w:val="nil"/>
              <w:left w:val="nil"/>
              <w:bottom w:val="single" w:sz="4" w:space="0" w:color="auto"/>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1116" w:type="dxa"/>
            <w:tcBorders>
              <w:top w:val="nil"/>
              <w:left w:val="nil"/>
              <w:bottom w:val="single" w:sz="4" w:space="0" w:color="auto"/>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sidRPr="00B73C91">
              <w:rPr>
                <w:rFonts w:ascii="Times New Roman" w:eastAsia="Times New Roman" w:hAnsi="Times New Roman" w:cs="Times New Roman"/>
                <w:color w:val="000000"/>
                <w:sz w:val="20"/>
                <w:szCs w:val="20"/>
                <w:lang w:eastAsia="en-GB"/>
              </w:rPr>
              <w:t>10.05</w:t>
            </w:r>
          </w:p>
        </w:tc>
        <w:tc>
          <w:tcPr>
            <w:tcW w:w="855" w:type="dxa"/>
            <w:tcBorders>
              <w:top w:val="nil"/>
              <w:left w:val="nil"/>
              <w:bottom w:val="single" w:sz="4" w:space="0" w:color="auto"/>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925" w:type="dxa"/>
            <w:tcBorders>
              <w:top w:val="nil"/>
              <w:left w:val="nil"/>
              <w:bottom w:val="single" w:sz="4" w:space="0" w:color="auto"/>
              <w:right w:val="nil"/>
            </w:tcBorders>
            <w:shd w:val="clear" w:color="auto" w:fill="auto"/>
            <w:hideMark/>
          </w:tcPr>
          <w:p w:rsidR="00B73C91" w:rsidRPr="00B73C91" w:rsidRDefault="00B73C91" w:rsidP="00B73C91">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r>
    </w:tbl>
    <w:p w:rsidR="00B73C91" w:rsidRPr="00B73C91" w:rsidRDefault="00B73C91" w:rsidP="002A11A2">
      <w:pPr>
        <w:spacing w:after="0" w:line="240" w:lineRule="auto"/>
        <w:rPr>
          <w:rFonts w:ascii="Times New Roman" w:hAnsi="Times New Roman" w:cs="Times New Roman"/>
          <w:sz w:val="20"/>
          <w:szCs w:val="20"/>
        </w:rPr>
      </w:pPr>
    </w:p>
    <w:p w:rsidR="001B214E" w:rsidRDefault="001B214E" w:rsidP="00B35443">
      <w:pPr>
        <w:spacing w:after="0" w:line="240" w:lineRule="auto"/>
        <w:rPr>
          <w:rFonts w:ascii="Times New Roman" w:hAnsi="Times New Roman" w:cs="Times New Roman"/>
          <w:sz w:val="20"/>
          <w:szCs w:val="20"/>
        </w:rPr>
      </w:pPr>
    </w:p>
    <w:p w:rsidR="00BF1CB5" w:rsidRPr="00E80C3C" w:rsidRDefault="008A60D4" w:rsidP="00BF1CB5">
      <w:pPr>
        <w:pStyle w:val="ListParagraph"/>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Distributional accuracy</w:t>
      </w:r>
    </w:p>
    <w:p w:rsidR="00BF1CB5" w:rsidRDefault="00BF1CB5" w:rsidP="00B35443">
      <w:pPr>
        <w:spacing w:after="0" w:line="240" w:lineRule="auto"/>
        <w:rPr>
          <w:rFonts w:ascii="Times New Roman" w:hAnsi="Times New Roman" w:cs="Times New Roman"/>
          <w:sz w:val="20"/>
          <w:szCs w:val="20"/>
        </w:rPr>
      </w:pPr>
    </w:p>
    <w:p w:rsidR="00F82B7D" w:rsidRDefault="00DB756F" w:rsidP="00C707D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Recovery of</w:t>
      </w:r>
      <w:r w:rsidR="00F82B7D">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 xml:space="preserve">true </w:t>
      </w:r>
      <w:r w:rsidR="004155CB">
        <w:rPr>
          <w:rFonts w:ascii="Times New Roman" w:hAnsi="Times New Roman" w:cs="Times New Roman"/>
          <w:color w:val="000000"/>
          <w:sz w:val="20"/>
          <w:szCs w:val="20"/>
        </w:rPr>
        <w:t xml:space="preserve">age </w:t>
      </w:r>
      <w:r w:rsidR="00EF57C7">
        <w:rPr>
          <w:rFonts w:ascii="Times New Roman" w:hAnsi="Times New Roman" w:cs="Times New Roman"/>
          <w:color w:val="000000"/>
          <w:sz w:val="20"/>
          <w:szCs w:val="20"/>
        </w:rPr>
        <w:t>distribution</w:t>
      </w:r>
      <w:r w:rsidR="00F82B7D">
        <w:rPr>
          <w:rFonts w:ascii="Times New Roman" w:hAnsi="Times New Roman" w:cs="Times New Roman"/>
          <w:color w:val="000000"/>
          <w:sz w:val="20"/>
          <w:szCs w:val="20"/>
        </w:rPr>
        <w:t xml:space="preserve"> of the perturbed data w</w:t>
      </w:r>
      <w:r w:rsidR="00EF57C7">
        <w:rPr>
          <w:rFonts w:ascii="Times New Roman" w:hAnsi="Times New Roman" w:cs="Times New Roman"/>
          <w:color w:val="000000"/>
          <w:sz w:val="20"/>
          <w:szCs w:val="20"/>
        </w:rPr>
        <w:t>as</w:t>
      </w:r>
      <w:r w:rsidR="00F82B7D">
        <w:rPr>
          <w:rFonts w:ascii="Times New Roman" w:hAnsi="Times New Roman" w:cs="Times New Roman"/>
          <w:color w:val="000000"/>
          <w:sz w:val="20"/>
          <w:szCs w:val="20"/>
        </w:rPr>
        <w:t xml:space="preserve"> also assessed.</w:t>
      </w:r>
      <w:r w:rsidR="00DD58FB">
        <w:rPr>
          <w:rFonts w:ascii="Times New Roman" w:hAnsi="Times New Roman" w:cs="Times New Roman"/>
          <w:color w:val="000000"/>
          <w:sz w:val="20"/>
          <w:szCs w:val="20"/>
        </w:rPr>
        <w:t xml:space="preserve"> Table 2.2-1 </w:t>
      </w:r>
      <w:r w:rsidR="005F0775">
        <w:rPr>
          <w:rFonts w:ascii="Times New Roman" w:hAnsi="Times New Roman" w:cs="Times New Roman"/>
          <w:color w:val="000000"/>
          <w:sz w:val="20"/>
          <w:szCs w:val="20"/>
        </w:rPr>
        <w:t>illustrates</w:t>
      </w:r>
      <w:r w:rsidR="00DD58FB">
        <w:rPr>
          <w:rFonts w:ascii="Times New Roman" w:hAnsi="Times New Roman" w:cs="Times New Roman"/>
          <w:color w:val="000000"/>
          <w:sz w:val="20"/>
          <w:szCs w:val="20"/>
        </w:rPr>
        <w:t xml:space="preserve"> </w:t>
      </w:r>
      <w:r w:rsidR="00C973D5">
        <w:rPr>
          <w:rFonts w:ascii="Times New Roman" w:hAnsi="Times New Roman" w:cs="Times New Roman"/>
          <w:color w:val="000000"/>
          <w:sz w:val="20"/>
          <w:szCs w:val="20"/>
        </w:rPr>
        <w:t xml:space="preserve">summary statistics for </w:t>
      </w:r>
      <w:r w:rsidR="00EF57C7">
        <w:rPr>
          <w:rFonts w:ascii="Times New Roman" w:hAnsi="Times New Roman" w:cs="Times New Roman"/>
          <w:color w:val="000000"/>
          <w:sz w:val="20"/>
          <w:szCs w:val="20"/>
        </w:rPr>
        <w:t xml:space="preserve">the </w:t>
      </w:r>
      <w:r w:rsidR="00C973D5">
        <w:rPr>
          <w:rFonts w:ascii="Times New Roman" w:hAnsi="Times New Roman" w:cs="Times New Roman"/>
          <w:color w:val="000000"/>
          <w:sz w:val="20"/>
          <w:szCs w:val="20"/>
        </w:rPr>
        <w:t xml:space="preserve">error in </w:t>
      </w:r>
      <w:r w:rsidR="005F0775">
        <w:rPr>
          <w:rFonts w:ascii="Times New Roman" w:hAnsi="Times New Roman" w:cs="Times New Roman"/>
          <w:color w:val="000000"/>
          <w:sz w:val="20"/>
          <w:szCs w:val="20"/>
        </w:rPr>
        <w:t xml:space="preserve">the </w:t>
      </w:r>
      <w:r w:rsidR="00D97557">
        <w:rPr>
          <w:rFonts w:ascii="Times New Roman" w:hAnsi="Times New Roman" w:cs="Times New Roman"/>
          <w:color w:val="000000"/>
          <w:sz w:val="20"/>
          <w:szCs w:val="20"/>
        </w:rPr>
        <w:t>counts by</w:t>
      </w:r>
      <w:r w:rsidR="00C973D5">
        <w:rPr>
          <w:rFonts w:ascii="Times New Roman" w:hAnsi="Times New Roman" w:cs="Times New Roman"/>
          <w:color w:val="000000"/>
          <w:sz w:val="20"/>
          <w:szCs w:val="20"/>
        </w:rPr>
        <w:t xml:space="preserve"> </w:t>
      </w:r>
      <w:r w:rsidR="009844A4">
        <w:rPr>
          <w:rFonts w:ascii="Times New Roman" w:hAnsi="Times New Roman" w:cs="Times New Roman"/>
          <w:color w:val="000000"/>
          <w:sz w:val="20"/>
          <w:szCs w:val="20"/>
        </w:rPr>
        <w:t xml:space="preserve">single year of age </w:t>
      </w:r>
      <w:r w:rsidR="00D97557">
        <w:rPr>
          <w:rFonts w:ascii="Times New Roman" w:hAnsi="Times New Roman" w:cs="Times New Roman"/>
          <w:color w:val="000000"/>
          <w:sz w:val="20"/>
          <w:szCs w:val="20"/>
        </w:rPr>
        <w:t>for each condition</w:t>
      </w:r>
      <w:r w:rsidR="00C973D5">
        <w:rPr>
          <w:rFonts w:ascii="Times New Roman" w:hAnsi="Times New Roman" w:cs="Times New Roman"/>
          <w:color w:val="000000"/>
          <w:sz w:val="20"/>
          <w:szCs w:val="20"/>
        </w:rPr>
        <w:t>.</w:t>
      </w:r>
    </w:p>
    <w:p w:rsidR="005A11CF" w:rsidRDefault="005A11CF" w:rsidP="00C707DC">
      <w:pPr>
        <w:spacing w:after="0" w:line="240" w:lineRule="auto"/>
        <w:rPr>
          <w:rFonts w:ascii="Times New Roman" w:hAnsi="Times New Roman" w:cs="Times New Roman"/>
          <w:color w:val="000000"/>
          <w:sz w:val="20"/>
          <w:szCs w:val="20"/>
        </w:rPr>
      </w:pPr>
    </w:p>
    <w:p w:rsidR="005A11CF" w:rsidRPr="005A11CF" w:rsidRDefault="005A11CF" w:rsidP="00C707DC">
      <w:pPr>
        <w:spacing w:after="0" w:line="240" w:lineRule="auto"/>
        <w:rPr>
          <w:rFonts w:ascii="Times New Roman" w:hAnsi="Times New Roman" w:cs="Times New Roman"/>
          <w:b/>
          <w:color w:val="000000"/>
          <w:sz w:val="20"/>
          <w:szCs w:val="20"/>
        </w:rPr>
      </w:pPr>
      <w:r w:rsidRPr="005A11CF">
        <w:rPr>
          <w:rFonts w:ascii="Times New Roman" w:hAnsi="Times New Roman" w:cs="Times New Roman"/>
          <w:b/>
          <w:color w:val="000000"/>
          <w:sz w:val="20"/>
          <w:szCs w:val="20"/>
        </w:rPr>
        <w:t>Table 2.2-1.</w:t>
      </w:r>
    </w:p>
    <w:p w:rsidR="005A11CF" w:rsidRDefault="005A11CF" w:rsidP="00C707DC">
      <w:pPr>
        <w:spacing w:after="0" w:line="240" w:lineRule="auto"/>
        <w:rPr>
          <w:rFonts w:ascii="Times New Roman" w:hAnsi="Times New Roman" w:cs="Times New Roman"/>
          <w:b/>
          <w:color w:val="000000"/>
          <w:sz w:val="20"/>
          <w:szCs w:val="20"/>
        </w:rPr>
      </w:pPr>
      <w:r w:rsidRPr="005A11CF">
        <w:rPr>
          <w:rFonts w:ascii="Times New Roman" w:hAnsi="Times New Roman" w:cs="Times New Roman"/>
          <w:b/>
          <w:color w:val="000000"/>
          <w:sz w:val="20"/>
          <w:szCs w:val="20"/>
        </w:rPr>
        <w:t>Measures of distributional accuracy for each experimental condition</w:t>
      </w:r>
    </w:p>
    <w:p w:rsidR="00B329B0" w:rsidRDefault="00B329B0" w:rsidP="00C707DC">
      <w:pPr>
        <w:spacing w:after="0" w:line="240" w:lineRule="auto"/>
        <w:rPr>
          <w:rFonts w:ascii="Times New Roman" w:hAnsi="Times New Roman" w:cs="Times New Roman"/>
          <w:b/>
          <w:color w:val="000000"/>
          <w:sz w:val="20"/>
          <w:szCs w:val="20"/>
        </w:rPr>
      </w:pPr>
    </w:p>
    <w:tbl>
      <w:tblPr>
        <w:tblStyle w:val="LightShading1"/>
        <w:tblW w:w="0" w:type="auto"/>
        <w:tblLook w:val="04A0"/>
      </w:tblPr>
      <w:tblGrid>
        <w:gridCol w:w="1611"/>
        <w:gridCol w:w="1593"/>
        <w:gridCol w:w="1593"/>
        <w:gridCol w:w="1593"/>
        <w:gridCol w:w="1593"/>
        <w:gridCol w:w="1593"/>
      </w:tblGrid>
      <w:tr w:rsidR="00C40E22" w:rsidRPr="00C40E22" w:rsidTr="00C40E22">
        <w:trPr>
          <w:cnfStyle w:val="100000000000"/>
          <w:trHeight w:val="300"/>
        </w:trPr>
        <w:tc>
          <w:tcPr>
            <w:cnfStyle w:val="001000000000"/>
            <w:tcW w:w="1611" w:type="dxa"/>
            <w:tcBorders>
              <w:top w:val="single" w:sz="4" w:space="0" w:color="auto"/>
              <w:bottom w:val="single" w:sz="4" w:space="0" w:color="auto"/>
            </w:tcBorders>
            <w:shd w:val="clear" w:color="auto" w:fill="auto"/>
            <w:noWrap/>
            <w:hideMark/>
          </w:tcPr>
          <w:p w:rsidR="00C40E22" w:rsidRPr="00C40E22" w:rsidRDefault="00C40E22" w:rsidP="00C40E22">
            <w:pPr>
              <w:rPr>
                <w:rFonts w:ascii="Times New Roman" w:hAnsi="Times New Roman" w:cs="Times New Roman"/>
                <w:color w:val="000000"/>
                <w:sz w:val="20"/>
                <w:szCs w:val="20"/>
              </w:rPr>
            </w:pPr>
            <w:r w:rsidRPr="00C40E22">
              <w:rPr>
                <w:rFonts w:ascii="Times New Roman" w:hAnsi="Times New Roman" w:cs="Times New Roman"/>
                <w:color w:val="000000"/>
                <w:sz w:val="20"/>
                <w:szCs w:val="20"/>
              </w:rPr>
              <w:t>Error</w:t>
            </w:r>
          </w:p>
        </w:tc>
        <w:tc>
          <w:tcPr>
            <w:tcW w:w="1593" w:type="dxa"/>
            <w:tcBorders>
              <w:top w:val="single" w:sz="4" w:space="0" w:color="auto"/>
              <w:bottom w:val="single" w:sz="4" w:space="0" w:color="auto"/>
            </w:tcBorders>
            <w:shd w:val="clear" w:color="auto" w:fill="auto"/>
            <w:noWrap/>
            <w:hideMark/>
          </w:tcPr>
          <w:p w:rsidR="00C40E22" w:rsidRPr="00C40E22" w:rsidRDefault="00C40E22" w:rsidP="00C40E22">
            <w:pPr>
              <w:cnfStyle w:val="100000000000"/>
              <w:rPr>
                <w:rFonts w:ascii="Times New Roman" w:hAnsi="Times New Roman" w:cs="Times New Roman"/>
                <w:color w:val="000000"/>
                <w:sz w:val="20"/>
                <w:szCs w:val="20"/>
              </w:rPr>
            </w:pPr>
            <w:r w:rsidRPr="00C40E22">
              <w:rPr>
                <w:rFonts w:ascii="Times New Roman" w:hAnsi="Times New Roman" w:cs="Times New Roman"/>
                <w:color w:val="000000"/>
                <w:sz w:val="20"/>
                <w:szCs w:val="20"/>
              </w:rPr>
              <w:t>Exact</w:t>
            </w:r>
            <w:r w:rsidR="00F83361">
              <w:rPr>
                <w:rFonts w:ascii="Times New Roman" w:hAnsi="Times New Roman" w:cs="Times New Roman"/>
                <w:color w:val="000000"/>
                <w:sz w:val="20"/>
                <w:szCs w:val="20"/>
              </w:rPr>
              <w:t xml:space="preserve"> admin data</w:t>
            </w:r>
          </w:p>
        </w:tc>
        <w:tc>
          <w:tcPr>
            <w:tcW w:w="1593" w:type="dxa"/>
            <w:tcBorders>
              <w:top w:val="single" w:sz="4" w:space="0" w:color="auto"/>
              <w:bottom w:val="single" w:sz="4" w:space="0" w:color="auto"/>
            </w:tcBorders>
            <w:shd w:val="clear" w:color="auto" w:fill="auto"/>
            <w:noWrap/>
            <w:hideMark/>
          </w:tcPr>
          <w:p w:rsidR="00C40E22" w:rsidRPr="00C40E22" w:rsidRDefault="00C40E22" w:rsidP="00C40E22">
            <w:pPr>
              <w:cnfStyle w:val="100000000000"/>
              <w:rPr>
                <w:rFonts w:ascii="Times New Roman" w:hAnsi="Times New Roman" w:cs="Times New Roman"/>
                <w:color w:val="000000"/>
                <w:sz w:val="20"/>
                <w:szCs w:val="20"/>
              </w:rPr>
            </w:pPr>
            <w:r w:rsidRPr="00C40E22">
              <w:rPr>
                <w:rFonts w:ascii="Times New Roman" w:hAnsi="Times New Roman" w:cs="Times New Roman"/>
                <w:color w:val="000000"/>
                <w:sz w:val="20"/>
                <w:szCs w:val="20"/>
              </w:rPr>
              <w:t>No</w:t>
            </w:r>
            <w:r>
              <w:rPr>
                <w:rFonts w:ascii="Times New Roman" w:hAnsi="Times New Roman" w:cs="Times New Roman"/>
                <w:color w:val="000000"/>
                <w:sz w:val="20"/>
                <w:szCs w:val="20"/>
              </w:rPr>
              <w:t xml:space="preserve"> a</w:t>
            </w:r>
            <w:r w:rsidRPr="00C40E22">
              <w:rPr>
                <w:rFonts w:ascii="Times New Roman" w:hAnsi="Times New Roman" w:cs="Times New Roman"/>
                <w:color w:val="000000"/>
                <w:sz w:val="20"/>
                <w:szCs w:val="20"/>
              </w:rPr>
              <w:t>dmin</w:t>
            </w:r>
            <w:r w:rsidR="00B329B0">
              <w:rPr>
                <w:rFonts w:ascii="Times New Roman" w:hAnsi="Times New Roman" w:cs="Times New Roman"/>
                <w:color w:val="000000"/>
                <w:sz w:val="20"/>
                <w:szCs w:val="20"/>
              </w:rPr>
              <w:t xml:space="preserve"> data</w:t>
            </w:r>
          </w:p>
        </w:tc>
        <w:tc>
          <w:tcPr>
            <w:tcW w:w="1593" w:type="dxa"/>
            <w:tcBorders>
              <w:top w:val="single" w:sz="4" w:space="0" w:color="auto"/>
              <w:bottom w:val="single" w:sz="4" w:space="0" w:color="auto"/>
            </w:tcBorders>
            <w:shd w:val="clear" w:color="auto" w:fill="auto"/>
            <w:noWrap/>
            <w:hideMark/>
          </w:tcPr>
          <w:p w:rsidR="00C40E22" w:rsidRPr="00C40E22" w:rsidRDefault="00C40E22" w:rsidP="00C40E22">
            <w:pPr>
              <w:cnfStyle w:val="100000000000"/>
              <w:rPr>
                <w:rFonts w:ascii="Times New Roman" w:hAnsi="Times New Roman" w:cs="Times New Roman"/>
                <w:color w:val="000000"/>
                <w:sz w:val="20"/>
                <w:szCs w:val="20"/>
              </w:rPr>
            </w:pPr>
            <w:r w:rsidRPr="000900F6">
              <w:rPr>
                <w:rFonts w:ascii="Times New Roman" w:hAnsi="Times New Roman" w:cs="Times New Roman"/>
                <w:color w:val="000000"/>
                <w:sz w:val="20"/>
                <w:szCs w:val="20"/>
              </w:rPr>
              <w:t xml:space="preserve">Admin </w:t>
            </w:r>
            <w:r>
              <w:rPr>
                <w:rFonts w:ascii="Times New Roman" w:hAnsi="Times New Roman" w:cs="Times New Roman"/>
                <w:color w:val="000000"/>
                <w:sz w:val="20"/>
                <w:szCs w:val="20"/>
              </w:rPr>
              <w:t>+/-</w:t>
            </w:r>
            <w:r w:rsidRPr="000900F6">
              <w:rPr>
                <w:rFonts w:ascii="Times New Roman" w:hAnsi="Times New Roman" w:cs="Times New Roman"/>
                <w:color w:val="000000"/>
                <w:sz w:val="20"/>
                <w:szCs w:val="20"/>
              </w:rPr>
              <w:t>3</w:t>
            </w:r>
          </w:p>
        </w:tc>
        <w:tc>
          <w:tcPr>
            <w:tcW w:w="1593" w:type="dxa"/>
            <w:tcBorders>
              <w:top w:val="single" w:sz="4" w:space="0" w:color="auto"/>
              <w:bottom w:val="single" w:sz="4" w:space="0" w:color="auto"/>
            </w:tcBorders>
            <w:shd w:val="clear" w:color="auto" w:fill="auto"/>
            <w:noWrap/>
            <w:hideMark/>
          </w:tcPr>
          <w:p w:rsidR="00C40E22" w:rsidRPr="00C40E22" w:rsidRDefault="00C40E22" w:rsidP="00C40E22">
            <w:pPr>
              <w:cnfStyle w:val="100000000000"/>
              <w:rPr>
                <w:rFonts w:ascii="Times New Roman" w:hAnsi="Times New Roman" w:cs="Times New Roman"/>
                <w:color w:val="000000"/>
                <w:sz w:val="20"/>
                <w:szCs w:val="20"/>
              </w:rPr>
            </w:pPr>
            <w:r w:rsidRPr="000900F6">
              <w:rPr>
                <w:rFonts w:ascii="Times New Roman" w:hAnsi="Times New Roman" w:cs="Times New Roman"/>
                <w:color w:val="000000"/>
                <w:sz w:val="20"/>
                <w:szCs w:val="20"/>
              </w:rPr>
              <w:t xml:space="preserve">Admin </w:t>
            </w:r>
            <w:r>
              <w:rPr>
                <w:rFonts w:ascii="Times New Roman" w:hAnsi="Times New Roman" w:cs="Times New Roman"/>
                <w:color w:val="000000"/>
                <w:sz w:val="20"/>
                <w:szCs w:val="20"/>
              </w:rPr>
              <w:t>+/-</w:t>
            </w:r>
            <w:r w:rsidRPr="000900F6">
              <w:rPr>
                <w:rFonts w:ascii="Times New Roman" w:hAnsi="Times New Roman" w:cs="Times New Roman"/>
                <w:color w:val="000000"/>
                <w:sz w:val="20"/>
                <w:szCs w:val="20"/>
              </w:rPr>
              <w:t>6</w:t>
            </w:r>
          </w:p>
        </w:tc>
        <w:tc>
          <w:tcPr>
            <w:tcW w:w="1593" w:type="dxa"/>
            <w:tcBorders>
              <w:top w:val="single" w:sz="4" w:space="0" w:color="auto"/>
              <w:bottom w:val="single" w:sz="4" w:space="0" w:color="auto"/>
            </w:tcBorders>
            <w:shd w:val="clear" w:color="auto" w:fill="auto"/>
            <w:noWrap/>
            <w:hideMark/>
          </w:tcPr>
          <w:p w:rsidR="00C40E22" w:rsidRPr="00C40E22" w:rsidRDefault="00C40E22" w:rsidP="00C40E22">
            <w:pPr>
              <w:cnfStyle w:val="100000000000"/>
              <w:rPr>
                <w:rFonts w:ascii="Times New Roman" w:hAnsi="Times New Roman" w:cs="Times New Roman"/>
                <w:color w:val="000000"/>
                <w:sz w:val="20"/>
                <w:szCs w:val="20"/>
              </w:rPr>
            </w:pPr>
            <w:r w:rsidRPr="000900F6">
              <w:rPr>
                <w:rFonts w:ascii="Times New Roman" w:hAnsi="Times New Roman" w:cs="Times New Roman"/>
                <w:color w:val="000000"/>
                <w:sz w:val="20"/>
                <w:szCs w:val="20"/>
              </w:rPr>
              <w:t xml:space="preserve">Admin </w:t>
            </w:r>
            <w:r>
              <w:rPr>
                <w:rFonts w:ascii="Times New Roman" w:hAnsi="Times New Roman" w:cs="Times New Roman"/>
                <w:color w:val="000000"/>
                <w:sz w:val="20"/>
                <w:szCs w:val="20"/>
              </w:rPr>
              <w:t>+/-</w:t>
            </w:r>
            <w:r w:rsidRPr="000900F6">
              <w:rPr>
                <w:rFonts w:ascii="Times New Roman" w:hAnsi="Times New Roman" w:cs="Times New Roman"/>
                <w:color w:val="000000"/>
                <w:sz w:val="20"/>
                <w:szCs w:val="20"/>
              </w:rPr>
              <w:t>12</w:t>
            </w:r>
          </w:p>
        </w:tc>
      </w:tr>
      <w:tr w:rsidR="00C40E22" w:rsidRPr="00C40E22" w:rsidTr="00C40E22">
        <w:trPr>
          <w:cnfStyle w:val="000000100000"/>
          <w:trHeight w:val="300"/>
        </w:trPr>
        <w:tc>
          <w:tcPr>
            <w:cnfStyle w:val="001000000000"/>
            <w:tcW w:w="1611" w:type="dxa"/>
            <w:tcBorders>
              <w:top w:val="single" w:sz="4" w:space="0" w:color="auto"/>
            </w:tcBorders>
            <w:shd w:val="clear" w:color="auto" w:fill="auto"/>
            <w:noWrap/>
            <w:hideMark/>
          </w:tcPr>
          <w:p w:rsidR="00C40E22" w:rsidRPr="00C40E22" w:rsidRDefault="00C40E22" w:rsidP="00C40E22">
            <w:pPr>
              <w:rPr>
                <w:rFonts w:ascii="Times New Roman" w:hAnsi="Times New Roman" w:cs="Times New Roman"/>
                <w:b w:val="0"/>
                <w:iCs/>
                <w:color w:val="000000"/>
                <w:sz w:val="20"/>
                <w:szCs w:val="20"/>
              </w:rPr>
            </w:pPr>
            <w:r w:rsidRPr="00C40E22">
              <w:rPr>
                <w:rFonts w:ascii="Times New Roman" w:hAnsi="Times New Roman" w:cs="Times New Roman"/>
                <w:b w:val="0"/>
                <w:iCs/>
                <w:color w:val="000000"/>
                <w:sz w:val="20"/>
                <w:szCs w:val="20"/>
              </w:rPr>
              <w:t>Mean</w:t>
            </w:r>
          </w:p>
        </w:tc>
        <w:tc>
          <w:tcPr>
            <w:tcW w:w="1593" w:type="dxa"/>
            <w:tcBorders>
              <w:top w:val="single" w:sz="4" w:space="0" w:color="auto"/>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-0.019</w:t>
            </w:r>
          </w:p>
        </w:tc>
        <w:tc>
          <w:tcPr>
            <w:tcW w:w="1593" w:type="dxa"/>
            <w:tcBorders>
              <w:top w:val="single" w:sz="4" w:space="0" w:color="auto"/>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-0.028</w:t>
            </w:r>
          </w:p>
        </w:tc>
        <w:tc>
          <w:tcPr>
            <w:tcW w:w="1593" w:type="dxa"/>
            <w:tcBorders>
              <w:top w:val="single" w:sz="4" w:space="0" w:color="auto"/>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-0.086</w:t>
            </w:r>
          </w:p>
        </w:tc>
        <w:tc>
          <w:tcPr>
            <w:tcW w:w="1593" w:type="dxa"/>
            <w:tcBorders>
              <w:top w:val="single" w:sz="4" w:space="0" w:color="auto"/>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-0.114</w:t>
            </w:r>
          </w:p>
        </w:tc>
        <w:tc>
          <w:tcPr>
            <w:tcW w:w="1593" w:type="dxa"/>
            <w:tcBorders>
              <w:top w:val="single" w:sz="4" w:space="0" w:color="auto"/>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-0.065</w:t>
            </w:r>
          </w:p>
        </w:tc>
      </w:tr>
      <w:tr w:rsidR="00C40E22" w:rsidRPr="00C40E22" w:rsidTr="00B329B0">
        <w:trPr>
          <w:trHeight w:val="300"/>
        </w:trPr>
        <w:tc>
          <w:tcPr>
            <w:cnfStyle w:val="001000000000"/>
            <w:tcW w:w="1611" w:type="dxa"/>
            <w:tcBorders>
              <w:bottom w:val="nil"/>
            </w:tcBorders>
            <w:shd w:val="clear" w:color="auto" w:fill="auto"/>
            <w:noWrap/>
            <w:hideMark/>
          </w:tcPr>
          <w:p w:rsidR="00C40E22" w:rsidRPr="00C40E22" w:rsidRDefault="00C40E22" w:rsidP="00C40E22">
            <w:pPr>
              <w:rPr>
                <w:rFonts w:ascii="Times New Roman" w:hAnsi="Times New Roman" w:cs="Times New Roman"/>
                <w:b w:val="0"/>
                <w:iCs/>
                <w:color w:val="000000"/>
                <w:sz w:val="20"/>
                <w:szCs w:val="20"/>
              </w:rPr>
            </w:pPr>
            <w:r w:rsidRPr="00C40E22">
              <w:rPr>
                <w:rFonts w:ascii="Times New Roman" w:hAnsi="Times New Roman" w:cs="Times New Roman"/>
                <w:b w:val="0"/>
                <w:iCs/>
                <w:color w:val="000000"/>
                <w:sz w:val="20"/>
                <w:szCs w:val="20"/>
              </w:rPr>
              <w:t>Mean 95% CI</w:t>
            </w:r>
          </w:p>
        </w:tc>
        <w:tc>
          <w:tcPr>
            <w:tcW w:w="1593" w:type="dxa"/>
            <w:tcBorders>
              <w:bottom w:val="nil"/>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-4.40</w:t>
            </w:r>
            <w:r w:rsidRPr="00C40E22">
              <w:rPr>
                <w:rFonts w:ascii="Times New Roman" w:hAnsi="Times New Roman" w:cs="Times New Roman"/>
                <w:color w:val="000000"/>
                <w:sz w:val="20"/>
                <w:szCs w:val="20"/>
              </w:rPr>
              <w:t xml:space="preserve"> , 4.36</w:t>
            </w:r>
          </w:p>
        </w:tc>
        <w:tc>
          <w:tcPr>
            <w:tcW w:w="1593" w:type="dxa"/>
            <w:tcBorders>
              <w:bottom w:val="nil"/>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-4.90</w:t>
            </w:r>
            <w:r w:rsidRPr="00C40E22">
              <w:rPr>
                <w:rFonts w:ascii="Times New Roman" w:hAnsi="Times New Roman" w:cs="Times New Roman"/>
                <w:color w:val="000000"/>
                <w:sz w:val="20"/>
                <w:szCs w:val="20"/>
              </w:rPr>
              <w:t xml:space="preserve"> , 4.84</w:t>
            </w:r>
          </w:p>
        </w:tc>
        <w:tc>
          <w:tcPr>
            <w:tcW w:w="1593" w:type="dxa"/>
            <w:tcBorders>
              <w:bottom w:val="nil"/>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-6.01</w:t>
            </w:r>
            <w:r w:rsidRPr="00C40E22">
              <w:rPr>
                <w:rFonts w:ascii="Times New Roman" w:hAnsi="Times New Roman" w:cs="Times New Roman"/>
                <w:color w:val="000000"/>
                <w:sz w:val="20"/>
                <w:szCs w:val="20"/>
              </w:rPr>
              <w:t xml:space="preserve"> , 5.8</w:t>
            </w:r>
            <w:r>
              <w:rPr>
                <w:rFonts w:ascii="Times New Roman" w:hAnsi="Times New Roman" w:cs="Times New Roman"/>
                <w:color w:val="000000"/>
                <w:sz w:val="20"/>
                <w:szCs w:val="20"/>
              </w:rPr>
              <w:t>4</w:t>
            </w:r>
          </w:p>
        </w:tc>
        <w:tc>
          <w:tcPr>
            <w:tcW w:w="1593" w:type="dxa"/>
            <w:tcBorders>
              <w:bottom w:val="nil"/>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sidRPr="00C40E22">
              <w:rPr>
                <w:rFonts w:ascii="Times New Roman" w:hAnsi="Times New Roman" w:cs="Times New Roman"/>
                <w:color w:val="000000"/>
                <w:sz w:val="20"/>
                <w:szCs w:val="20"/>
              </w:rPr>
              <w:t>-7.99 , 7.76</w:t>
            </w:r>
          </w:p>
        </w:tc>
        <w:tc>
          <w:tcPr>
            <w:tcW w:w="1593" w:type="dxa"/>
            <w:tcBorders>
              <w:bottom w:val="nil"/>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-6.98</w:t>
            </w:r>
            <w:r w:rsidRPr="00C40E22">
              <w:rPr>
                <w:rFonts w:ascii="Times New Roman" w:hAnsi="Times New Roman" w:cs="Times New Roman"/>
                <w:color w:val="000000"/>
                <w:sz w:val="20"/>
                <w:szCs w:val="20"/>
              </w:rPr>
              <w:t xml:space="preserve"> , 6.85</w:t>
            </w:r>
          </w:p>
        </w:tc>
      </w:tr>
      <w:tr w:rsidR="00B329B0" w:rsidRPr="00C40E22" w:rsidTr="00B329B0">
        <w:trPr>
          <w:cnfStyle w:val="000000100000"/>
          <w:trHeight w:val="300"/>
        </w:trPr>
        <w:tc>
          <w:tcPr>
            <w:cnfStyle w:val="001000000000"/>
            <w:tcW w:w="1611" w:type="dxa"/>
            <w:tcBorders>
              <w:top w:val="nil"/>
              <w:bottom w:val="nil"/>
            </w:tcBorders>
            <w:shd w:val="clear" w:color="auto" w:fill="auto"/>
            <w:noWrap/>
            <w:hideMark/>
          </w:tcPr>
          <w:p w:rsidR="00C40E22" w:rsidRPr="00C40E22" w:rsidRDefault="00C40E22" w:rsidP="00C40E22">
            <w:pPr>
              <w:rPr>
                <w:rFonts w:ascii="Times New Roman" w:hAnsi="Times New Roman" w:cs="Times New Roman"/>
                <w:b w:val="0"/>
                <w:iCs/>
                <w:color w:val="000000"/>
                <w:sz w:val="20"/>
                <w:szCs w:val="20"/>
              </w:rPr>
            </w:pPr>
            <w:r w:rsidRPr="00C40E22">
              <w:rPr>
                <w:rFonts w:ascii="Times New Roman" w:hAnsi="Times New Roman" w:cs="Times New Roman"/>
                <w:b w:val="0"/>
                <w:iCs/>
                <w:color w:val="000000"/>
                <w:sz w:val="20"/>
                <w:szCs w:val="20"/>
              </w:rPr>
              <w:t>St Dev</w:t>
            </w:r>
          </w:p>
        </w:tc>
        <w:tc>
          <w:tcPr>
            <w:tcW w:w="1593" w:type="dxa"/>
            <w:tcBorders>
              <w:top w:val="nil"/>
              <w:bottom w:val="nil"/>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22.4</w:t>
            </w:r>
            <w:r>
              <w:rPr>
                <w:rFonts w:ascii="Times New Roman" w:hAnsi="Times New Roman" w:cs="Times New Roman"/>
                <w:color w:val="000000"/>
                <w:sz w:val="20"/>
                <w:szCs w:val="20"/>
              </w:rPr>
              <w:t>3</w:t>
            </w:r>
          </w:p>
        </w:tc>
        <w:tc>
          <w:tcPr>
            <w:tcW w:w="1593" w:type="dxa"/>
            <w:tcBorders>
              <w:top w:val="nil"/>
              <w:bottom w:val="nil"/>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25.40</w:t>
            </w:r>
          </w:p>
        </w:tc>
        <w:tc>
          <w:tcPr>
            <w:tcW w:w="1593" w:type="dxa"/>
            <w:tcBorders>
              <w:top w:val="nil"/>
              <w:bottom w:val="nil"/>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30.6</w:t>
            </w:r>
            <w:r>
              <w:rPr>
                <w:rFonts w:ascii="Times New Roman" w:hAnsi="Times New Roman" w:cs="Times New Roman"/>
                <w:color w:val="000000"/>
                <w:sz w:val="20"/>
                <w:szCs w:val="20"/>
              </w:rPr>
              <w:t>1</w:t>
            </w:r>
          </w:p>
        </w:tc>
        <w:tc>
          <w:tcPr>
            <w:tcW w:w="1593" w:type="dxa"/>
            <w:tcBorders>
              <w:top w:val="nil"/>
              <w:bottom w:val="nil"/>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40.7</w:t>
            </w:r>
            <w:r>
              <w:rPr>
                <w:rFonts w:ascii="Times New Roman" w:hAnsi="Times New Roman" w:cs="Times New Roman"/>
                <w:color w:val="000000"/>
                <w:sz w:val="20"/>
                <w:szCs w:val="20"/>
              </w:rPr>
              <w:t>1</w:t>
            </w:r>
          </w:p>
        </w:tc>
        <w:tc>
          <w:tcPr>
            <w:tcW w:w="1593" w:type="dxa"/>
            <w:tcBorders>
              <w:top w:val="nil"/>
              <w:bottom w:val="nil"/>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36.26</w:t>
            </w:r>
          </w:p>
        </w:tc>
      </w:tr>
      <w:tr w:rsidR="00C40E22" w:rsidRPr="00C40E22" w:rsidTr="00B329B0">
        <w:trPr>
          <w:trHeight w:val="300"/>
        </w:trPr>
        <w:tc>
          <w:tcPr>
            <w:cnfStyle w:val="001000000000"/>
            <w:tcW w:w="1611" w:type="dxa"/>
            <w:tcBorders>
              <w:top w:val="nil"/>
            </w:tcBorders>
            <w:shd w:val="clear" w:color="auto" w:fill="auto"/>
            <w:noWrap/>
            <w:hideMark/>
          </w:tcPr>
          <w:p w:rsidR="00C40E22" w:rsidRPr="00C40E22" w:rsidRDefault="00C40E22" w:rsidP="00C40E22">
            <w:pPr>
              <w:rPr>
                <w:rFonts w:ascii="Times New Roman" w:hAnsi="Times New Roman" w:cs="Times New Roman"/>
                <w:b w:val="0"/>
                <w:iCs/>
                <w:color w:val="000000"/>
                <w:sz w:val="20"/>
                <w:szCs w:val="20"/>
              </w:rPr>
            </w:pPr>
            <w:r w:rsidRPr="00C40E22">
              <w:rPr>
                <w:rFonts w:ascii="Times New Roman" w:hAnsi="Times New Roman" w:cs="Times New Roman"/>
                <w:b w:val="0"/>
                <w:iCs/>
                <w:color w:val="000000"/>
                <w:sz w:val="20"/>
                <w:szCs w:val="20"/>
              </w:rPr>
              <w:t>SSE</w:t>
            </w:r>
          </w:p>
        </w:tc>
        <w:tc>
          <w:tcPr>
            <w:tcW w:w="1593" w:type="dxa"/>
            <w:tcBorders>
              <w:top w:val="nil"/>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sidRPr="00C40E22">
              <w:rPr>
                <w:rFonts w:ascii="Times New Roman" w:hAnsi="Times New Roman" w:cs="Times New Roman"/>
                <w:color w:val="000000"/>
                <w:sz w:val="20"/>
                <w:szCs w:val="20"/>
              </w:rPr>
              <w:t>51</w:t>
            </w:r>
            <w:r>
              <w:rPr>
                <w:rFonts w:ascii="Times New Roman" w:hAnsi="Times New Roman" w:cs="Times New Roman"/>
                <w:color w:val="000000"/>
                <w:sz w:val="20"/>
                <w:szCs w:val="20"/>
              </w:rPr>
              <w:t>,</w:t>
            </w:r>
            <w:r w:rsidRPr="00C40E22">
              <w:rPr>
                <w:rFonts w:ascii="Times New Roman" w:hAnsi="Times New Roman" w:cs="Times New Roman"/>
                <w:color w:val="000000"/>
                <w:sz w:val="20"/>
                <w:szCs w:val="20"/>
              </w:rPr>
              <w:t>294</w:t>
            </w:r>
          </w:p>
        </w:tc>
        <w:tc>
          <w:tcPr>
            <w:tcW w:w="1593" w:type="dxa"/>
            <w:tcBorders>
              <w:top w:val="nil"/>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sidRPr="00C40E22">
              <w:rPr>
                <w:rFonts w:ascii="Times New Roman" w:hAnsi="Times New Roman" w:cs="Times New Roman"/>
                <w:color w:val="000000"/>
                <w:sz w:val="20"/>
                <w:szCs w:val="20"/>
              </w:rPr>
              <w:t>68</w:t>
            </w:r>
            <w:r>
              <w:rPr>
                <w:rFonts w:ascii="Times New Roman" w:hAnsi="Times New Roman" w:cs="Times New Roman"/>
                <w:color w:val="000000"/>
                <w:sz w:val="20"/>
                <w:szCs w:val="20"/>
              </w:rPr>
              <w:t>,</w:t>
            </w:r>
            <w:r w:rsidRPr="00C40E22">
              <w:rPr>
                <w:rFonts w:ascii="Times New Roman" w:hAnsi="Times New Roman" w:cs="Times New Roman"/>
                <w:color w:val="000000"/>
                <w:sz w:val="20"/>
                <w:szCs w:val="20"/>
              </w:rPr>
              <w:t>387</w:t>
            </w:r>
          </w:p>
        </w:tc>
        <w:tc>
          <w:tcPr>
            <w:tcW w:w="1593" w:type="dxa"/>
            <w:tcBorders>
              <w:top w:val="nil"/>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sidRPr="00C40E22">
              <w:rPr>
                <w:rFonts w:ascii="Times New Roman" w:hAnsi="Times New Roman" w:cs="Times New Roman"/>
                <w:color w:val="000000"/>
                <w:sz w:val="20"/>
                <w:szCs w:val="20"/>
              </w:rPr>
              <w:t>97</w:t>
            </w:r>
            <w:r>
              <w:rPr>
                <w:rFonts w:ascii="Times New Roman" w:hAnsi="Times New Roman" w:cs="Times New Roman"/>
                <w:color w:val="000000"/>
                <w:sz w:val="20"/>
                <w:szCs w:val="20"/>
              </w:rPr>
              <w:t>,</w:t>
            </w:r>
            <w:r w:rsidRPr="00C40E22">
              <w:rPr>
                <w:rFonts w:ascii="Times New Roman" w:hAnsi="Times New Roman" w:cs="Times New Roman"/>
                <w:color w:val="000000"/>
                <w:sz w:val="20"/>
                <w:szCs w:val="20"/>
              </w:rPr>
              <w:t>425</w:t>
            </w:r>
          </w:p>
        </w:tc>
        <w:tc>
          <w:tcPr>
            <w:tcW w:w="1593" w:type="dxa"/>
            <w:tcBorders>
              <w:top w:val="nil"/>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sidRPr="00C40E22">
              <w:rPr>
                <w:rFonts w:ascii="Times New Roman" w:hAnsi="Times New Roman" w:cs="Times New Roman"/>
                <w:color w:val="000000"/>
                <w:sz w:val="20"/>
                <w:szCs w:val="20"/>
              </w:rPr>
              <w:t>172</w:t>
            </w:r>
            <w:r>
              <w:rPr>
                <w:rFonts w:ascii="Times New Roman" w:hAnsi="Times New Roman" w:cs="Times New Roman"/>
                <w:color w:val="000000"/>
                <w:sz w:val="20"/>
                <w:szCs w:val="20"/>
              </w:rPr>
              <w:t>,</w:t>
            </w:r>
            <w:r w:rsidRPr="00C40E22">
              <w:rPr>
                <w:rFonts w:ascii="Times New Roman" w:hAnsi="Times New Roman" w:cs="Times New Roman"/>
                <w:color w:val="000000"/>
                <w:sz w:val="20"/>
                <w:szCs w:val="20"/>
              </w:rPr>
              <w:t>354</w:t>
            </w:r>
          </w:p>
        </w:tc>
        <w:tc>
          <w:tcPr>
            <w:tcW w:w="1593" w:type="dxa"/>
            <w:tcBorders>
              <w:top w:val="nil"/>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sidRPr="00C40E22">
              <w:rPr>
                <w:rFonts w:ascii="Times New Roman" w:hAnsi="Times New Roman" w:cs="Times New Roman"/>
                <w:color w:val="000000"/>
                <w:sz w:val="20"/>
                <w:szCs w:val="20"/>
              </w:rPr>
              <w:t>140</w:t>
            </w:r>
            <w:r>
              <w:rPr>
                <w:rFonts w:ascii="Times New Roman" w:hAnsi="Times New Roman" w:cs="Times New Roman"/>
                <w:color w:val="000000"/>
                <w:sz w:val="20"/>
                <w:szCs w:val="20"/>
              </w:rPr>
              <w:t>,</w:t>
            </w:r>
            <w:r w:rsidRPr="00C40E22">
              <w:rPr>
                <w:rFonts w:ascii="Times New Roman" w:hAnsi="Times New Roman" w:cs="Times New Roman"/>
                <w:color w:val="000000"/>
                <w:sz w:val="20"/>
                <w:szCs w:val="20"/>
              </w:rPr>
              <w:t>709</w:t>
            </w:r>
          </w:p>
        </w:tc>
      </w:tr>
      <w:tr w:rsidR="00C40E22" w:rsidRPr="00C40E22" w:rsidTr="00C40E22">
        <w:trPr>
          <w:cnfStyle w:val="000000100000"/>
          <w:trHeight w:val="300"/>
        </w:trPr>
        <w:tc>
          <w:tcPr>
            <w:cnfStyle w:val="001000000000"/>
            <w:tcW w:w="1611" w:type="dxa"/>
            <w:tcBorders>
              <w:bottom w:val="nil"/>
            </w:tcBorders>
            <w:shd w:val="clear" w:color="auto" w:fill="auto"/>
            <w:noWrap/>
            <w:hideMark/>
          </w:tcPr>
          <w:p w:rsidR="00C40E22" w:rsidRPr="00C40E22" w:rsidRDefault="00C40E22" w:rsidP="00C40E22">
            <w:pPr>
              <w:rPr>
                <w:rFonts w:ascii="Times New Roman" w:hAnsi="Times New Roman" w:cs="Times New Roman"/>
                <w:b w:val="0"/>
                <w:iCs/>
                <w:color w:val="000000"/>
                <w:sz w:val="20"/>
                <w:szCs w:val="20"/>
              </w:rPr>
            </w:pPr>
            <w:r w:rsidRPr="00C40E22">
              <w:rPr>
                <w:rFonts w:ascii="Times New Roman" w:hAnsi="Times New Roman" w:cs="Times New Roman"/>
                <w:b w:val="0"/>
                <w:iCs/>
                <w:color w:val="000000"/>
                <w:sz w:val="20"/>
                <w:szCs w:val="20"/>
              </w:rPr>
              <w:t>RMSE</w:t>
            </w:r>
          </w:p>
        </w:tc>
        <w:tc>
          <w:tcPr>
            <w:tcW w:w="1593" w:type="dxa"/>
            <w:tcBorders>
              <w:bottom w:val="nil"/>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22.3</w:t>
            </w:r>
            <w:r>
              <w:rPr>
                <w:rFonts w:ascii="Times New Roman" w:hAnsi="Times New Roman" w:cs="Times New Roman"/>
                <w:color w:val="000000"/>
                <w:sz w:val="20"/>
                <w:szCs w:val="20"/>
              </w:rPr>
              <w:t>2</w:t>
            </w:r>
          </w:p>
        </w:tc>
        <w:tc>
          <w:tcPr>
            <w:tcW w:w="1593" w:type="dxa"/>
            <w:tcBorders>
              <w:bottom w:val="nil"/>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25.28</w:t>
            </w:r>
          </w:p>
        </w:tc>
        <w:tc>
          <w:tcPr>
            <w:tcW w:w="1593" w:type="dxa"/>
            <w:tcBorders>
              <w:bottom w:val="nil"/>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30.46</w:t>
            </w:r>
          </w:p>
        </w:tc>
        <w:tc>
          <w:tcPr>
            <w:tcW w:w="1593" w:type="dxa"/>
            <w:tcBorders>
              <w:bottom w:val="nil"/>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40.5</w:t>
            </w:r>
            <w:r>
              <w:rPr>
                <w:rFonts w:ascii="Times New Roman" w:hAnsi="Times New Roman" w:cs="Times New Roman"/>
                <w:color w:val="000000"/>
                <w:sz w:val="20"/>
                <w:szCs w:val="20"/>
              </w:rPr>
              <w:t>2</w:t>
            </w:r>
          </w:p>
        </w:tc>
        <w:tc>
          <w:tcPr>
            <w:tcW w:w="1593" w:type="dxa"/>
            <w:tcBorders>
              <w:bottom w:val="nil"/>
            </w:tcBorders>
            <w:shd w:val="clear" w:color="auto" w:fill="auto"/>
            <w:noWrap/>
            <w:hideMark/>
          </w:tcPr>
          <w:p w:rsidR="00C40E22" w:rsidRPr="00C40E22" w:rsidRDefault="00C40E22" w:rsidP="00C40E22">
            <w:pPr>
              <w:cnfStyle w:val="000000100000"/>
              <w:rPr>
                <w:rFonts w:ascii="Times New Roman" w:hAnsi="Times New Roman" w:cs="Times New Roman"/>
                <w:color w:val="000000"/>
                <w:sz w:val="20"/>
                <w:szCs w:val="20"/>
              </w:rPr>
            </w:pPr>
            <w:r w:rsidRPr="00C40E22">
              <w:rPr>
                <w:rFonts w:ascii="Times New Roman" w:hAnsi="Times New Roman" w:cs="Times New Roman"/>
                <w:color w:val="000000"/>
                <w:sz w:val="20"/>
                <w:szCs w:val="20"/>
              </w:rPr>
              <w:t>36.</w:t>
            </w:r>
            <w:r>
              <w:rPr>
                <w:rFonts w:ascii="Times New Roman" w:hAnsi="Times New Roman" w:cs="Times New Roman"/>
                <w:color w:val="000000"/>
                <w:sz w:val="20"/>
                <w:szCs w:val="20"/>
              </w:rPr>
              <w:t>10</w:t>
            </w:r>
          </w:p>
        </w:tc>
      </w:tr>
      <w:tr w:rsidR="00C40E22" w:rsidRPr="00C40E22" w:rsidTr="00C40E22">
        <w:trPr>
          <w:trHeight w:val="300"/>
        </w:trPr>
        <w:tc>
          <w:tcPr>
            <w:cnfStyle w:val="001000000000"/>
            <w:tcW w:w="1611" w:type="dxa"/>
            <w:tcBorders>
              <w:top w:val="nil"/>
              <w:bottom w:val="single" w:sz="4" w:space="0" w:color="auto"/>
            </w:tcBorders>
            <w:shd w:val="clear" w:color="auto" w:fill="auto"/>
            <w:noWrap/>
            <w:hideMark/>
          </w:tcPr>
          <w:p w:rsidR="00C40E22" w:rsidRPr="00C40E22" w:rsidRDefault="00C40E22" w:rsidP="00C40E22">
            <w:pPr>
              <w:rPr>
                <w:rFonts w:ascii="Times New Roman" w:hAnsi="Times New Roman" w:cs="Times New Roman"/>
                <w:b w:val="0"/>
                <w:iCs/>
                <w:color w:val="000000"/>
                <w:sz w:val="20"/>
                <w:szCs w:val="20"/>
              </w:rPr>
            </w:pPr>
            <w:r w:rsidRPr="00C40E22">
              <w:rPr>
                <w:rFonts w:ascii="Times New Roman" w:hAnsi="Times New Roman" w:cs="Times New Roman"/>
                <w:b w:val="0"/>
                <w:iCs/>
                <w:color w:val="000000"/>
                <w:sz w:val="20"/>
                <w:szCs w:val="20"/>
              </w:rPr>
              <w:t>RMSE 95% CI</w:t>
            </w:r>
          </w:p>
        </w:tc>
        <w:tc>
          <w:tcPr>
            <w:tcW w:w="1593" w:type="dxa"/>
            <w:tcBorders>
              <w:top w:val="nil"/>
              <w:bottom w:val="single" w:sz="4" w:space="0" w:color="auto"/>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18.57</w:t>
            </w:r>
            <w:r w:rsidRPr="00C40E22">
              <w:rPr>
                <w:rFonts w:ascii="Times New Roman" w:hAnsi="Times New Roman" w:cs="Times New Roman"/>
                <w:color w:val="000000"/>
                <w:sz w:val="20"/>
                <w:szCs w:val="20"/>
              </w:rPr>
              <w:t xml:space="preserve"> , 25.5</w:t>
            </w:r>
            <w:r>
              <w:rPr>
                <w:rFonts w:ascii="Times New Roman" w:hAnsi="Times New Roman" w:cs="Times New Roman"/>
                <w:color w:val="000000"/>
                <w:sz w:val="20"/>
                <w:szCs w:val="20"/>
              </w:rPr>
              <w:t>2</w:t>
            </w:r>
          </w:p>
        </w:tc>
        <w:tc>
          <w:tcPr>
            <w:tcW w:w="1593" w:type="dxa"/>
            <w:tcBorders>
              <w:top w:val="nil"/>
              <w:bottom w:val="single" w:sz="4" w:space="0" w:color="auto"/>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21.04</w:t>
            </w:r>
            <w:r w:rsidRPr="00C40E22">
              <w:rPr>
                <w:rFonts w:ascii="Times New Roman" w:hAnsi="Times New Roman" w:cs="Times New Roman"/>
                <w:color w:val="000000"/>
                <w:sz w:val="20"/>
                <w:szCs w:val="20"/>
              </w:rPr>
              <w:t xml:space="preserve"> , 28.9</w:t>
            </w:r>
            <w:r>
              <w:rPr>
                <w:rFonts w:ascii="Times New Roman" w:hAnsi="Times New Roman" w:cs="Times New Roman"/>
                <w:color w:val="000000"/>
                <w:sz w:val="20"/>
                <w:szCs w:val="20"/>
              </w:rPr>
              <w:t>1</w:t>
            </w:r>
          </w:p>
        </w:tc>
        <w:tc>
          <w:tcPr>
            <w:tcW w:w="1593" w:type="dxa"/>
            <w:tcBorders>
              <w:top w:val="nil"/>
              <w:bottom w:val="single" w:sz="4" w:space="0" w:color="auto"/>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22.99</w:t>
            </w:r>
            <w:r w:rsidRPr="00C40E22">
              <w:rPr>
                <w:rFonts w:ascii="Times New Roman" w:hAnsi="Times New Roman" w:cs="Times New Roman"/>
                <w:color w:val="000000"/>
                <w:sz w:val="20"/>
                <w:szCs w:val="20"/>
              </w:rPr>
              <w:t xml:space="preserve"> , 36.4</w:t>
            </w:r>
            <w:r>
              <w:rPr>
                <w:rFonts w:ascii="Times New Roman" w:hAnsi="Times New Roman" w:cs="Times New Roman"/>
                <w:color w:val="000000"/>
                <w:sz w:val="20"/>
                <w:szCs w:val="20"/>
              </w:rPr>
              <w:t>3</w:t>
            </w:r>
          </w:p>
        </w:tc>
        <w:tc>
          <w:tcPr>
            <w:tcW w:w="1593" w:type="dxa"/>
            <w:tcBorders>
              <w:top w:val="nil"/>
              <w:bottom w:val="single" w:sz="4" w:space="0" w:color="auto"/>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30.31</w:t>
            </w:r>
            <w:r w:rsidRPr="00C40E22">
              <w:rPr>
                <w:rFonts w:ascii="Times New Roman" w:hAnsi="Times New Roman" w:cs="Times New Roman"/>
                <w:color w:val="000000"/>
                <w:sz w:val="20"/>
                <w:szCs w:val="20"/>
              </w:rPr>
              <w:t xml:space="preserve"> , 48.62</w:t>
            </w:r>
          </w:p>
        </w:tc>
        <w:tc>
          <w:tcPr>
            <w:tcW w:w="1593" w:type="dxa"/>
            <w:tcBorders>
              <w:top w:val="nil"/>
              <w:bottom w:val="single" w:sz="4" w:space="0" w:color="auto"/>
            </w:tcBorders>
            <w:shd w:val="clear" w:color="auto" w:fill="auto"/>
            <w:noWrap/>
            <w:hideMark/>
          </w:tcPr>
          <w:p w:rsidR="00C40E22" w:rsidRPr="00C40E22" w:rsidRDefault="00C40E22" w:rsidP="00C40E22">
            <w:pPr>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30.57</w:t>
            </w:r>
            <w:r w:rsidRPr="00C40E22">
              <w:rPr>
                <w:rFonts w:ascii="Times New Roman" w:hAnsi="Times New Roman" w:cs="Times New Roman"/>
                <w:color w:val="000000"/>
                <w:sz w:val="20"/>
                <w:szCs w:val="20"/>
              </w:rPr>
              <w:t xml:space="preserve"> , 40.8</w:t>
            </w:r>
            <w:r>
              <w:rPr>
                <w:rFonts w:ascii="Times New Roman" w:hAnsi="Times New Roman" w:cs="Times New Roman"/>
                <w:color w:val="000000"/>
                <w:sz w:val="20"/>
                <w:szCs w:val="20"/>
              </w:rPr>
              <w:t>8</w:t>
            </w:r>
          </w:p>
        </w:tc>
      </w:tr>
    </w:tbl>
    <w:p w:rsidR="00DD58FB" w:rsidRDefault="00DD58FB" w:rsidP="00C707DC">
      <w:pPr>
        <w:spacing w:after="0" w:line="240" w:lineRule="auto"/>
        <w:rPr>
          <w:rFonts w:ascii="Times New Roman" w:hAnsi="Times New Roman" w:cs="Times New Roman"/>
          <w:color w:val="000000"/>
          <w:sz w:val="20"/>
          <w:szCs w:val="20"/>
        </w:rPr>
      </w:pPr>
    </w:p>
    <w:p w:rsidR="00C40E22" w:rsidRDefault="00C40E22" w:rsidP="00C707DC">
      <w:pPr>
        <w:spacing w:after="0" w:line="240" w:lineRule="auto"/>
        <w:rPr>
          <w:rFonts w:ascii="Times New Roman" w:hAnsi="Times New Roman" w:cs="Times New Roman"/>
          <w:color w:val="000000"/>
          <w:sz w:val="20"/>
          <w:szCs w:val="20"/>
        </w:rPr>
      </w:pPr>
    </w:p>
    <w:p w:rsidR="00D956F7" w:rsidRDefault="00E30673" w:rsidP="00C707D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exact </w:t>
      </w:r>
      <w:r w:rsidR="004A3C10">
        <w:rPr>
          <w:rFonts w:ascii="Times New Roman" w:hAnsi="Times New Roman" w:cs="Times New Roman"/>
          <w:color w:val="000000"/>
          <w:sz w:val="20"/>
          <w:szCs w:val="20"/>
        </w:rPr>
        <w:t xml:space="preserve">administrative </w:t>
      </w:r>
      <w:r>
        <w:rPr>
          <w:rFonts w:ascii="Times New Roman" w:hAnsi="Times New Roman" w:cs="Times New Roman"/>
          <w:color w:val="000000"/>
          <w:sz w:val="20"/>
          <w:szCs w:val="20"/>
        </w:rPr>
        <w:t>data condition</w:t>
      </w:r>
      <w:r w:rsidR="001D58F2">
        <w:rPr>
          <w:rFonts w:ascii="Times New Roman" w:hAnsi="Times New Roman" w:cs="Times New Roman"/>
          <w:color w:val="000000"/>
          <w:sz w:val="20"/>
          <w:szCs w:val="20"/>
        </w:rPr>
        <w:t xml:space="preserve"> perform</w:t>
      </w:r>
      <w:r w:rsidR="005F0775">
        <w:rPr>
          <w:rFonts w:ascii="Times New Roman" w:hAnsi="Times New Roman" w:cs="Times New Roman"/>
          <w:color w:val="000000"/>
          <w:sz w:val="20"/>
          <w:szCs w:val="20"/>
        </w:rPr>
        <w:t>ed</w:t>
      </w:r>
      <w:r w:rsidR="001D58F2">
        <w:rPr>
          <w:rFonts w:ascii="Times New Roman" w:hAnsi="Times New Roman" w:cs="Times New Roman"/>
          <w:color w:val="000000"/>
          <w:sz w:val="20"/>
          <w:szCs w:val="20"/>
        </w:rPr>
        <w:t xml:space="preserve"> better than the no </w:t>
      </w:r>
      <w:r w:rsidR="004A3C10">
        <w:rPr>
          <w:rFonts w:ascii="Times New Roman" w:hAnsi="Times New Roman" w:cs="Times New Roman"/>
          <w:color w:val="000000"/>
          <w:sz w:val="20"/>
          <w:szCs w:val="20"/>
        </w:rPr>
        <w:t xml:space="preserve">administrative </w:t>
      </w:r>
      <w:r w:rsidR="001D58F2">
        <w:rPr>
          <w:rFonts w:ascii="Times New Roman" w:hAnsi="Times New Roman" w:cs="Times New Roman"/>
          <w:color w:val="000000"/>
          <w:sz w:val="20"/>
          <w:szCs w:val="20"/>
        </w:rPr>
        <w:t xml:space="preserve">data condition, with </w:t>
      </w:r>
      <w:r w:rsidR="00EF57C7">
        <w:rPr>
          <w:rFonts w:ascii="Times New Roman" w:hAnsi="Times New Roman" w:cs="Times New Roman"/>
          <w:color w:val="000000"/>
          <w:sz w:val="20"/>
          <w:szCs w:val="20"/>
        </w:rPr>
        <w:t>a lower mean error</w:t>
      </w:r>
      <w:r w:rsidR="00A96396">
        <w:rPr>
          <w:rFonts w:ascii="Times New Roman" w:hAnsi="Times New Roman" w:cs="Times New Roman"/>
          <w:color w:val="000000"/>
          <w:sz w:val="20"/>
          <w:szCs w:val="20"/>
        </w:rPr>
        <w:t xml:space="preserve"> by age, </w:t>
      </w:r>
      <w:r w:rsidR="001D58F2">
        <w:rPr>
          <w:rFonts w:ascii="Times New Roman" w:hAnsi="Times New Roman" w:cs="Times New Roman"/>
          <w:color w:val="000000"/>
          <w:sz w:val="20"/>
          <w:szCs w:val="20"/>
        </w:rPr>
        <w:t xml:space="preserve">lower sum of squared errors and </w:t>
      </w:r>
      <w:r w:rsidR="00A96396">
        <w:rPr>
          <w:rFonts w:ascii="Times New Roman" w:hAnsi="Times New Roman" w:cs="Times New Roman"/>
          <w:color w:val="000000"/>
          <w:sz w:val="20"/>
          <w:szCs w:val="20"/>
        </w:rPr>
        <w:t xml:space="preserve">lower </w:t>
      </w:r>
      <w:r w:rsidR="001D58F2">
        <w:rPr>
          <w:rFonts w:ascii="Times New Roman" w:hAnsi="Times New Roman" w:cs="Times New Roman"/>
          <w:color w:val="000000"/>
          <w:sz w:val="20"/>
          <w:szCs w:val="20"/>
        </w:rPr>
        <w:t>root mean squared</w:t>
      </w:r>
      <w:r w:rsidR="00D45B19">
        <w:rPr>
          <w:rFonts w:ascii="Times New Roman" w:hAnsi="Times New Roman" w:cs="Times New Roman"/>
          <w:color w:val="000000"/>
          <w:sz w:val="20"/>
          <w:szCs w:val="20"/>
        </w:rPr>
        <w:t xml:space="preserve"> error, indicating</w:t>
      </w:r>
      <w:r>
        <w:rPr>
          <w:rFonts w:ascii="Times New Roman" w:hAnsi="Times New Roman" w:cs="Times New Roman"/>
          <w:color w:val="000000"/>
          <w:sz w:val="20"/>
          <w:szCs w:val="20"/>
        </w:rPr>
        <w:t xml:space="preserve"> both</w:t>
      </w:r>
      <w:r w:rsidR="00D45B19">
        <w:rPr>
          <w:rFonts w:ascii="Times New Roman" w:hAnsi="Times New Roman" w:cs="Times New Roman"/>
          <w:color w:val="000000"/>
          <w:sz w:val="20"/>
          <w:szCs w:val="20"/>
        </w:rPr>
        <w:t xml:space="preserve"> less absolute error over the whole age distribution</w:t>
      </w:r>
      <w:r>
        <w:rPr>
          <w:rFonts w:ascii="Times New Roman" w:hAnsi="Times New Roman" w:cs="Times New Roman"/>
          <w:color w:val="000000"/>
          <w:sz w:val="20"/>
          <w:szCs w:val="20"/>
        </w:rPr>
        <w:t xml:space="preserve"> and less error for each individual age</w:t>
      </w:r>
      <w:r w:rsidR="00D45B19">
        <w:rPr>
          <w:rFonts w:ascii="Times New Roman" w:hAnsi="Times New Roman" w:cs="Times New Roman"/>
          <w:color w:val="000000"/>
          <w:sz w:val="20"/>
          <w:szCs w:val="20"/>
        </w:rPr>
        <w:t xml:space="preserve">. The other </w:t>
      </w:r>
      <w:r w:rsidR="004A3C10">
        <w:rPr>
          <w:rFonts w:ascii="Times New Roman" w:hAnsi="Times New Roman" w:cs="Times New Roman"/>
          <w:color w:val="000000"/>
          <w:sz w:val="20"/>
          <w:szCs w:val="20"/>
        </w:rPr>
        <w:t xml:space="preserve">administrative </w:t>
      </w:r>
      <w:r w:rsidR="00D45B19">
        <w:rPr>
          <w:rFonts w:ascii="Times New Roman" w:hAnsi="Times New Roman" w:cs="Times New Roman"/>
          <w:color w:val="000000"/>
          <w:sz w:val="20"/>
          <w:szCs w:val="20"/>
        </w:rPr>
        <w:t xml:space="preserve">data conditions on the other hand, </w:t>
      </w:r>
      <w:r w:rsidR="00996CF6">
        <w:rPr>
          <w:rFonts w:ascii="Times New Roman" w:hAnsi="Times New Roman" w:cs="Times New Roman"/>
          <w:color w:val="000000"/>
          <w:sz w:val="20"/>
          <w:szCs w:val="20"/>
        </w:rPr>
        <w:t>had particular difficulty in recovering the true age distribution at the s</w:t>
      </w:r>
      <w:r w:rsidR="000900F6">
        <w:rPr>
          <w:rFonts w:ascii="Times New Roman" w:hAnsi="Times New Roman" w:cs="Times New Roman"/>
          <w:color w:val="000000"/>
          <w:sz w:val="20"/>
          <w:szCs w:val="20"/>
        </w:rPr>
        <w:t xml:space="preserve">chool age/working age boundary </w:t>
      </w:r>
      <w:r w:rsidR="003F2071">
        <w:rPr>
          <w:rFonts w:ascii="Times New Roman" w:hAnsi="Times New Roman" w:cs="Times New Roman"/>
          <w:color w:val="000000"/>
          <w:sz w:val="20"/>
          <w:szCs w:val="20"/>
        </w:rPr>
        <w:t xml:space="preserve">between 15 and </w:t>
      </w:r>
      <w:r w:rsidR="000900F6">
        <w:rPr>
          <w:rFonts w:ascii="Times New Roman" w:hAnsi="Times New Roman" w:cs="Times New Roman"/>
          <w:color w:val="000000"/>
          <w:sz w:val="20"/>
          <w:szCs w:val="20"/>
        </w:rPr>
        <w:t>1</w:t>
      </w:r>
      <w:r w:rsidR="003F2071">
        <w:rPr>
          <w:rFonts w:ascii="Times New Roman" w:hAnsi="Times New Roman" w:cs="Times New Roman"/>
          <w:color w:val="000000"/>
          <w:sz w:val="20"/>
          <w:szCs w:val="20"/>
        </w:rPr>
        <w:t>6 years old. As</w:t>
      </w:r>
      <w:r w:rsidR="00541E49">
        <w:rPr>
          <w:rFonts w:ascii="Times New Roman" w:hAnsi="Times New Roman" w:cs="Times New Roman"/>
          <w:color w:val="000000"/>
          <w:sz w:val="20"/>
          <w:szCs w:val="20"/>
        </w:rPr>
        <w:t xml:space="preserve"> table</w:t>
      </w:r>
      <w:r w:rsidR="003F2071">
        <w:rPr>
          <w:rFonts w:ascii="Times New Roman" w:hAnsi="Times New Roman" w:cs="Times New Roman"/>
          <w:color w:val="000000"/>
          <w:sz w:val="20"/>
          <w:szCs w:val="20"/>
        </w:rPr>
        <w:t xml:space="preserve"> 2.2-2</w:t>
      </w:r>
      <w:r w:rsidR="00541E49">
        <w:rPr>
          <w:rFonts w:ascii="Times New Roman" w:hAnsi="Times New Roman" w:cs="Times New Roman"/>
          <w:color w:val="000000"/>
          <w:sz w:val="20"/>
          <w:szCs w:val="20"/>
        </w:rPr>
        <w:t xml:space="preserve"> shows, only 60% of the true number of 16 year olds w</w:t>
      </w:r>
      <w:r w:rsidR="005F0775">
        <w:rPr>
          <w:rFonts w:ascii="Times New Roman" w:hAnsi="Times New Roman" w:cs="Times New Roman"/>
          <w:color w:val="000000"/>
          <w:sz w:val="20"/>
          <w:szCs w:val="20"/>
        </w:rPr>
        <w:t>ere</w:t>
      </w:r>
      <w:r w:rsidR="00541E49">
        <w:rPr>
          <w:rFonts w:ascii="Times New Roman" w:hAnsi="Times New Roman" w:cs="Times New Roman"/>
          <w:color w:val="000000"/>
          <w:sz w:val="20"/>
          <w:szCs w:val="20"/>
        </w:rPr>
        <w:t xml:space="preserve"> imputed for the +/- 6 years error </w:t>
      </w:r>
      <w:r w:rsidR="00B07B8E">
        <w:rPr>
          <w:rFonts w:ascii="Times New Roman" w:hAnsi="Times New Roman" w:cs="Times New Roman"/>
          <w:color w:val="000000"/>
          <w:sz w:val="20"/>
          <w:szCs w:val="20"/>
        </w:rPr>
        <w:t>condition</w:t>
      </w:r>
      <w:r w:rsidR="005F0775">
        <w:rPr>
          <w:rFonts w:ascii="Times New Roman" w:hAnsi="Times New Roman" w:cs="Times New Roman"/>
          <w:color w:val="000000"/>
          <w:sz w:val="20"/>
          <w:szCs w:val="20"/>
        </w:rPr>
        <w:t>,</w:t>
      </w:r>
      <w:r w:rsidR="00B07B8E">
        <w:rPr>
          <w:rFonts w:ascii="Times New Roman" w:hAnsi="Times New Roman" w:cs="Times New Roman"/>
          <w:color w:val="000000"/>
          <w:sz w:val="20"/>
          <w:szCs w:val="20"/>
        </w:rPr>
        <w:t xml:space="preserve"> whereas both the no </w:t>
      </w:r>
      <w:r w:rsidR="004A3C10">
        <w:rPr>
          <w:rFonts w:ascii="Times New Roman" w:hAnsi="Times New Roman" w:cs="Times New Roman"/>
          <w:color w:val="000000"/>
          <w:sz w:val="20"/>
          <w:szCs w:val="20"/>
        </w:rPr>
        <w:t xml:space="preserve">administrative </w:t>
      </w:r>
      <w:r w:rsidR="00B07B8E">
        <w:rPr>
          <w:rFonts w:ascii="Times New Roman" w:hAnsi="Times New Roman" w:cs="Times New Roman"/>
          <w:color w:val="000000"/>
          <w:sz w:val="20"/>
          <w:szCs w:val="20"/>
        </w:rPr>
        <w:t xml:space="preserve">and exact </w:t>
      </w:r>
      <w:r w:rsidR="004A3C10">
        <w:rPr>
          <w:rFonts w:ascii="Times New Roman" w:hAnsi="Times New Roman" w:cs="Times New Roman"/>
          <w:color w:val="000000"/>
          <w:sz w:val="20"/>
          <w:szCs w:val="20"/>
        </w:rPr>
        <w:t xml:space="preserve">administrative </w:t>
      </w:r>
      <w:r w:rsidR="00B07B8E">
        <w:rPr>
          <w:rFonts w:ascii="Times New Roman" w:hAnsi="Times New Roman" w:cs="Times New Roman"/>
          <w:color w:val="000000"/>
          <w:sz w:val="20"/>
          <w:szCs w:val="20"/>
        </w:rPr>
        <w:t>data conditions accurately recovered the true count of 16 year olds.</w:t>
      </w:r>
    </w:p>
    <w:p w:rsidR="00A96396" w:rsidRDefault="00A96396" w:rsidP="00C707DC">
      <w:pPr>
        <w:spacing w:after="0" w:line="240" w:lineRule="auto"/>
        <w:rPr>
          <w:rFonts w:ascii="Times New Roman" w:hAnsi="Times New Roman" w:cs="Times New Roman"/>
          <w:color w:val="000000"/>
          <w:sz w:val="20"/>
          <w:szCs w:val="20"/>
        </w:rPr>
      </w:pPr>
    </w:p>
    <w:p w:rsidR="00A96396" w:rsidRPr="00A96396" w:rsidRDefault="00A96396" w:rsidP="00C707DC">
      <w:pPr>
        <w:spacing w:after="0" w:line="240" w:lineRule="auto"/>
        <w:rPr>
          <w:rFonts w:ascii="Times New Roman" w:hAnsi="Times New Roman" w:cs="Times New Roman"/>
          <w:b/>
          <w:color w:val="000000"/>
          <w:sz w:val="20"/>
          <w:szCs w:val="20"/>
        </w:rPr>
      </w:pPr>
      <w:r w:rsidRPr="00A96396">
        <w:rPr>
          <w:rFonts w:ascii="Times New Roman" w:hAnsi="Times New Roman" w:cs="Times New Roman"/>
          <w:b/>
          <w:color w:val="000000"/>
          <w:sz w:val="20"/>
          <w:szCs w:val="20"/>
        </w:rPr>
        <w:t>Table 2.2-2</w:t>
      </w:r>
    </w:p>
    <w:p w:rsidR="00A96396" w:rsidRPr="00A96396" w:rsidRDefault="00A96396" w:rsidP="00C707DC">
      <w:pPr>
        <w:spacing w:after="0" w:line="240" w:lineRule="auto"/>
        <w:rPr>
          <w:rFonts w:ascii="Times New Roman" w:hAnsi="Times New Roman" w:cs="Times New Roman"/>
          <w:b/>
          <w:color w:val="000000"/>
          <w:sz w:val="20"/>
          <w:szCs w:val="20"/>
        </w:rPr>
      </w:pPr>
      <w:r w:rsidRPr="00A96396">
        <w:rPr>
          <w:rFonts w:ascii="Times New Roman" w:hAnsi="Times New Roman" w:cs="Times New Roman"/>
          <w:b/>
          <w:color w:val="000000"/>
          <w:sz w:val="20"/>
          <w:szCs w:val="20"/>
        </w:rPr>
        <w:t xml:space="preserve">Post-imputation frequencies of 16 year olds for each experimental condition </w:t>
      </w:r>
    </w:p>
    <w:p w:rsidR="000900F6" w:rsidRDefault="000900F6" w:rsidP="00C707DC">
      <w:pPr>
        <w:spacing w:after="0" w:line="240" w:lineRule="auto"/>
        <w:rPr>
          <w:rFonts w:ascii="Times New Roman" w:hAnsi="Times New Roman" w:cs="Times New Roman"/>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tblPr>
      <w:tblGrid>
        <w:gridCol w:w="608"/>
        <w:gridCol w:w="517"/>
        <w:gridCol w:w="800"/>
        <w:gridCol w:w="343"/>
        <w:gridCol w:w="516"/>
        <w:gridCol w:w="726"/>
        <w:gridCol w:w="342"/>
        <w:gridCol w:w="516"/>
        <w:gridCol w:w="702"/>
        <w:gridCol w:w="283"/>
        <w:gridCol w:w="516"/>
        <w:gridCol w:w="659"/>
        <w:gridCol w:w="343"/>
        <w:gridCol w:w="516"/>
        <w:gridCol w:w="659"/>
        <w:gridCol w:w="346"/>
        <w:gridCol w:w="525"/>
        <w:gridCol w:w="659"/>
      </w:tblGrid>
      <w:tr w:rsidR="00541E49" w:rsidRPr="000900F6" w:rsidTr="00F83361">
        <w:trPr>
          <w:trHeight w:val="315"/>
        </w:trPr>
        <w:tc>
          <w:tcPr>
            <w:tcW w:w="608" w:type="dxa"/>
            <w:tcBorders>
              <w:top w:val="single" w:sz="4" w:space="0" w:color="auto"/>
              <w:bottom w:val="single" w:sz="4" w:space="0" w:color="auto"/>
            </w:tcBorders>
            <w:hideMark/>
          </w:tcPr>
          <w:p w:rsidR="000900F6" w:rsidRPr="000900F6" w:rsidRDefault="000900F6" w:rsidP="000900F6">
            <w:pPr>
              <w:rPr>
                <w:rFonts w:ascii="Times New Roman" w:hAnsi="Times New Roman" w:cs="Times New Roman"/>
                <w:color w:val="000000"/>
                <w:sz w:val="20"/>
                <w:szCs w:val="20"/>
              </w:rPr>
            </w:pPr>
            <w:r w:rsidRPr="000900F6">
              <w:rPr>
                <w:rFonts w:ascii="Times New Roman" w:hAnsi="Times New Roman" w:cs="Times New Roman"/>
                <w:color w:val="000000"/>
                <w:sz w:val="20"/>
                <w:szCs w:val="20"/>
              </w:rPr>
              <w:t> </w:t>
            </w:r>
          </w:p>
        </w:tc>
        <w:tc>
          <w:tcPr>
            <w:tcW w:w="1317" w:type="dxa"/>
            <w:gridSpan w:val="2"/>
            <w:tcBorders>
              <w:top w:val="single" w:sz="4" w:space="0" w:color="auto"/>
              <w:bottom w:val="single" w:sz="4" w:space="0" w:color="auto"/>
            </w:tcBorders>
            <w:hideMark/>
          </w:tcPr>
          <w:p w:rsidR="000900F6" w:rsidRPr="000900F6" w:rsidRDefault="000900F6" w:rsidP="000900F6">
            <w:pPr>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True values</w:t>
            </w:r>
          </w:p>
        </w:tc>
        <w:tc>
          <w:tcPr>
            <w:tcW w:w="343" w:type="dxa"/>
            <w:tcBorders>
              <w:top w:val="single" w:sz="4" w:space="0" w:color="auto"/>
              <w:bottom w:val="single" w:sz="4" w:space="0" w:color="auto"/>
            </w:tcBorders>
            <w:hideMark/>
          </w:tcPr>
          <w:p w:rsidR="000900F6" w:rsidRPr="000900F6" w:rsidRDefault="000900F6" w:rsidP="000900F6">
            <w:pPr>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w:t>
            </w:r>
          </w:p>
        </w:tc>
        <w:tc>
          <w:tcPr>
            <w:tcW w:w="1242" w:type="dxa"/>
            <w:gridSpan w:val="2"/>
            <w:tcBorders>
              <w:top w:val="single" w:sz="4" w:space="0" w:color="auto"/>
              <w:bottom w:val="single" w:sz="4" w:space="0" w:color="auto"/>
            </w:tcBorders>
            <w:hideMark/>
          </w:tcPr>
          <w:p w:rsidR="000900F6" w:rsidRPr="000900F6" w:rsidRDefault="002773B6" w:rsidP="000900F6">
            <w:pPr>
              <w:rPr>
                <w:rFonts w:ascii="Times New Roman" w:hAnsi="Times New Roman" w:cs="Times New Roman"/>
                <w:b/>
                <w:bCs/>
                <w:color w:val="000000"/>
                <w:sz w:val="20"/>
                <w:szCs w:val="20"/>
              </w:rPr>
            </w:pPr>
            <w:r>
              <w:rPr>
                <w:rFonts w:ascii="Times New Roman" w:hAnsi="Times New Roman" w:cs="Times New Roman"/>
                <w:b/>
                <w:bCs/>
                <w:color w:val="000000"/>
                <w:sz w:val="20"/>
                <w:szCs w:val="20"/>
              </w:rPr>
              <w:t>Exact</w:t>
            </w:r>
            <w:r w:rsidR="000900F6" w:rsidRPr="000900F6">
              <w:rPr>
                <w:rFonts w:ascii="Times New Roman" w:hAnsi="Times New Roman" w:cs="Times New Roman"/>
                <w:b/>
                <w:bCs/>
                <w:color w:val="000000"/>
                <w:sz w:val="20"/>
                <w:szCs w:val="20"/>
              </w:rPr>
              <w:t xml:space="preserve"> admin</w:t>
            </w:r>
            <w:r w:rsidR="00410716">
              <w:rPr>
                <w:rFonts w:ascii="Times New Roman" w:hAnsi="Times New Roman" w:cs="Times New Roman"/>
                <w:b/>
                <w:bCs/>
                <w:color w:val="000000"/>
                <w:sz w:val="20"/>
                <w:szCs w:val="20"/>
              </w:rPr>
              <w:t xml:space="preserve"> data</w:t>
            </w:r>
          </w:p>
        </w:tc>
        <w:tc>
          <w:tcPr>
            <w:tcW w:w="342" w:type="dxa"/>
            <w:tcBorders>
              <w:top w:val="single" w:sz="4" w:space="0" w:color="auto"/>
              <w:bottom w:val="single" w:sz="4" w:space="0" w:color="auto"/>
            </w:tcBorders>
            <w:hideMark/>
          </w:tcPr>
          <w:p w:rsidR="000900F6" w:rsidRPr="000900F6" w:rsidRDefault="000900F6" w:rsidP="000900F6">
            <w:pPr>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w:t>
            </w:r>
          </w:p>
        </w:tc>
        <w:tc>
          <w:tcPr>
            <w:tcW w:w="1218" w:type="dxa"/>
            <w:gridSpan w:val="2"/>
            <w:tcBorders>
              <w:top w:val="single" w:sz="4" w:space="0" w:color="auto"/>
              <w:bottom w:val="single" w:sz="4" w:space="0" w:color="auto"/>
            </w:tcBorders>
            <w:hideMark/>
          </w:tcPr>
          <w:p w:rsidR="000900F6" w:rsidRPr="000900F6" w:rsidRDefault="002773B6" w:rsidP="00F83361">
            <w:pPr>
              <w:rPr>
                <w:rFonts w:ascii="Times New Roman" w:hAnsi="Times New Roman" w:cs="Times New Roman"/>
                <w:b/>
                <w:bCs/>
                <w:color w:val="000000"/>
                <w:sz w:val="20"/>
                <w:szCs w:val="20"/>
              </w:rPr>
            </w:pPr>
            <w:r>
              <w:rPr>
                <w:rFonts w:ascii="Times New Roman" w:hAnsi="Times New Roman" w:cs="Times New Roman"/>
                <w:b/>
                <w:bCs/>
                <w:color w:val="000000"/>
                <w:sz w:val="20"/>
                <w:szCs w:val="20"/>
              </w:rPr>
              <w:t>No</w:t>
            </w:r>
            <w:r w:rsidR="00F83361">
              <w:rPr>
                <w:rFonts w:ascii="Times New Roman" w:hAnsi="Times New Roman" w:cs="Times New Roman"/>
                <w:b/>
                <w:bCs/>
                <w:color w:val="000000"/>
                <w:sz w:val="20"/>
                <w:szCs w:val="20"/>
              </w:rPr>
              <w:t xml:space="preserve"> admin data</w:t>
            </w:r>
          </w:p>
        </w:tc>
        <w:tc>
          <w:tcPr>
            <w:tcW w:w="283" w:type="dxa"/>
            <w:tcBorders>
              <w:top w:val="single" w:sz="4" w:space="0" w:color="auto"/>
              <w:bottom w:val="single" w:sz="4" w:space="0" w:color="auto"/>
            </w:tcBorders>
            <w:hideMark/>
          </w:tcPr>
          <w:p w:rsidR="000900F6" w:rsidRPr="000900F6" w:rsidRDefault="000900F6" w:rsidP="000900F6">
            <w:pPr>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w:t>
            </w:r>
          </w:p>
        </w:tc>
        <w:tc>
          <w:tcPr>
            <w:tcW w:w="1175" w:type="dxa"/>
            <w:gridSpan w:val="2"/>
            <w:tcBorders>
              <w:top w:val="single" w:sz="4" w:space="0" w:color="auto"/>
              <w:bottom w:val="single" w:sz="4" w:space="0" w:color="auto"/>
            </w:tcBorders>
            <w:hideMark/>
          </w:tcPr>
          <w:p w:rsidR="000900F6" w:rsidRPr="000900F6" w:rsidRDefault="000900F6" w:rsidP="000900F6">
            <w:pPr>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xml:space="preserve">Admin </w:t>
            </w:r>
            <w:r w:rsidR="00E30907">
              <w:rPr>
                <w:rFonts w:ascii="Times New Roman" w:hAnsi="Times New Roman" w:cs="Times New Roman"/>
                <w:b/>
                <w:bCs/>
                <w:color w:val="000000"/>
                <w:sz w:val="20"/>
                <w:szCs w:val="20"/>
              </w:rPr>
              <w:t>+/-</w:t>
            </w:r>
            <w:r w:rsidRPr="000900F6">
              <w:rPr>
                <w:rFonts w:ascii="Times New Roman" w:hAnsi="Times New Roman" w:cs="Times New Roman"/>
                <w:b/>
                <w:bCs/>
                <w:color w:val="000000"/>
                <w:sz w:val="20"/>
                <w:szCs w:val="20"/>
              </w:rPr>
              <w:t>3</w:t>
            </w:r>
          </w:p>
        </w:tc>
        <w:tc>
          <w:tcPr>
            <w:tcW w:w="343" w:type="dxa"/>
            <w:tcBorders>
              <w:top w:val="single" w:sz="4" w:space="0" w:color="auto"/>
              <w:bottom w:val="single" w:sz="4" w:space="0" w:color="auto"/>
            </w:tcBorders>
            <w:hideMark/>
          </w:tcPr>
          <w:p w:rsidR="000900F6" w:rsidRPr="000900F6" w:rsidRDefault="000900F6" w:rsidP="000900F6">
            <w:pPr>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w:t>
            </w:r>
          </w:p>
        </w:tc>
        <w:tc>
          <w:tcPr>
            <w:tcW w:w="1175" w:type="dxa"/>
            <w:gridSpan w:val="2"/>
            <w:tcBorders>
              <w:top w:val="single" w:sz="4" w:space="0" w:color="auto"/>
              <w:bottom w:val="single" w:sz="4" w:space="0" w:color="auto"/>
            </w:tcBorders>
            <w:hideMark/>
          </w:tcPr>
          <w:p w:rsidR="000900F6" w:rsidRPr="000900F6" w:rsidRDefault="000900F6" w:rsidP="000900F6">
            <w:pPr>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xml:space="preserve">Admin </w:t>
            </w:r>
            <w:r>
              <w:rPr>
                <w:rFonts w:ascii="Times New Roman" w:hAnsi="Times New Roman" w:cs="Times New Roman"/>
                <w:b/>
                <w:bCs/>
                <w:color w:val="000000"/>
                <w:sz w:val="20"/>
                <w:szCs w:val="20"/>
              </w:rPr>
              <w:t>+/-</w:t>
            </w:r>
            <w:r w:rsidRPr="000900F6">
              <w:rPr>
                <w:rFonts w:ascii="Times New Roman" w:hAnsi="Times New Roman" w:cs="Times New Roman"/>
                <w:b/>
                <w:bCs/>
                <w:color w:val="000000"/>
                <w:sz w:val="20"/>
                <w:szCs w:val="20"/>
              </w:rPr>
              <w:t>6</w:t>
            </w:r>
          </w:p>
        </w:tc>
        <w:tc>
          <w:tcPr>
            <w:tcW w:w="346" w:type="dxa"/>
            <w:tcBorders>
              <w:top w:val="single" w:sz="4" w:space="0" w:color="auto"/>
              <w:bottom w:val="single" w:sz="4" w:space="0" w:color="auto"/>
            </w:tcBorders>
            <w:hideMark/>
          </w:tcPr>
          <w:p w:rsidR="000900F6" w:rsidRPr="000900F6" w:rsidRDefault="000900F6" w:rsidP="000900F6">
            <w:pPr>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w:t>
            </w:r>
          </w:p>
        </w:tc>
        <w:tc>
          <w:tcPr>
            <w:tcW w:w="1184" w:type="dxa"/>
            <w:gridSpan w:val="2"/>
            <w:tcBorders>
              <w:top w:val="single" w:sz="4" w:space="0" w:color="auto"/>
              <w:bottom w:val="single" w:sz="4" w:space="0" w:color="auto"/>
            </w:tcBorders>
            <w:hideMark/>
          </w:tcPr>
          <w:p w:rsidR="000900F6" w:rsidRPr="000900F6" w:rsidRDefault="000900F6" w:rsidP="000900F6">
            <w:pPr>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xml:space="preserve">Admin </w:t>
            </w:r>
            <w:r>
              <w:rPr>
                <w:rFonts w:ascii="Times New Roman" w:hAnsi="Times New Roman" w:cs="Times New Roman"/>
                <w:b/>
                <w:bCs/>
                <w:color w:val="000000"/>
                <w:sz w:val="20"/>
                <w:szCs w:val="20"/>
              </w:rPr>
              <w:t>+/-</w:t>
            </w:r>
            <w:r w:rsidRPr="000900F6">
              <w:rPr>
                <w:rFonts w:ascii="Times New Roman" w:hAnsi="Times New Roman" w:cs="Times New Roman"/>
                <w:b/>
                <w:bCs/>
                <w:color w:val="000000"/>
                <w:sz w:val="20"/>
                <w:szCs w:val="20"/>
              </w:rPr>
              <w:t>12</w:t>
            </w:r>
          </w:p>
        </w:tc>
      </w:tr>
      <w:tr w:rsidR="00541E49" w:rsidRPr="000900F6" w:rsidTr="00F83361">
        <w:trPr>
          <w:trHeight w:val="300"/>
        </w:trPr>
        <w:tc>
          <w:tcPr>
            <w:tcW w:w="608" w:type="dxa"/>
            <w:tcBorders>
              <w:top w:val="single" w:sz="4" w:space="0" w:color="auto"/>
            </w:tcBorders>
            <w:hideMark/>
          </w:tcPr>
          <w:p w:rsidR="000900F6" w:rsidRPr="000900F6" w:rsidRDefault="000900F6" w:rsidP="00AB0F66">
            <w:pPr>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Age</w:t>
            </w:r>
          </w:p>
        </w:tc>
        <w:tc>
          <w:tcPr>
            <w:tcW w:w="517"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n</w:t>
            </w:r>
          </w:p>
        </w:tc>
        <w:tc>
          <w:tcPr>
            <w:tcW w:w="800"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of total</w:t>
            </w:r>
          </w:p>
        </w:tc>
        <w:tc>
          <w:tcPr>
            <w:tcW w:w="343"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w:t>
            </w:r>
          </w:p>
        </w:tc>
        <w:tc>
          <w:tcPr>
            <w:tcW w:w="516"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n</w:t>
            </w:r>
          </w:p>
        </w:tc>
        <w:tc>
          <w:tcPr>
            <w:tcW w:w="726"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of total</w:t>
            </w:r>
          </w:p>
        </w:tc>
        <w:tc>
          <w:tcPr>
            <w:tcW w:w="342"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w:t>
            </w:r>
          </w:p>
        </w:tc>
        <w:tc>
          <w:tcPr>
            <w:tcW w:w="516"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n</w:t>
            </w:r>
          </w:p>
        </w:tc>
        <w:tc>
          <w:tcPr>
            <w:tcW w:w="702"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of total</w:t>
            </w:r>
          </w:p>
        </w:tc>
        <w:tc>
          <w:tcPr>
            <w:tcW w:w="283"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w:t>
            </w:r>
          </w:p>
        </w:tc>
        <w:tc>
          <w:tcPr>
            <w:tcW w:w="516"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n</w:t>
            </w:r>
          </w:p>
        </w:tc>
        <w:tc>
          <w:tcPr>
            <w:tcW w:w="659"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of total</w:t>
            </w:r>
          </w:p>
        </w:tc>
        <w:tc>
          <w:tcPr>
            <w:tcW w:w="343"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w:t>
            </w:r>
          </w:p>
        </w:tc>
        <w:tc>
          <w:tcPr>
            <w:tcW w:w="516"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n</w:t>
            </w:r>
          </w:p>
        </w:tc>
        <w:tc>
          <w:tcPr>
            <w:tcW w:w="659"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of total</w:t>
            </w:r>
          </w:p>
        </w:tc>
        <w:tc>
          <w:tcPr>
            <w:tcW w:w="346"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w:t>
            </w:r>
          </w:p>
        </w:tc>
        <w:tc>
          <w:tcPr>
            <w:tcW w:w="525"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n</w:t>
            </w:r>
          </w:p>
        </w:tc>
        <w:tc>
          <w:tcPr>
            <w:tcW w:w="659" w:type="dxa"/>
            <w:tcBorders>
              <w:top w:val="single" w:sz="4" w:space="0" w:color="auto"/>
            </w:tcBorders>
            <w:hideMark/>
          </w:tcPr>
          <w:p w:rsidR="000900F6" w:rsidRPr="000900F6" w:rsidRDefault="000900F6" w:rsidP="00AB0F66">
            <w:pPr>
              <w:jc w:val="right"/>
              <w:rPr>
                <w:rFonts w:ascii="Times New Roman" w:hAnsi="Times New Roman" w:cs="Times New Roman"/>
                <w:b/>
                <w:bCs/>
                <w:color w:val="000000"/>
                <w:sz w:val="20"/>
                <w:szCs w:val="20"/>
              </w:rPr>
            </w:pPr>
            <w:r w:rsidRPr="000900F6">
              <w:rPr>
                <w:rFonts w:ascii="Times New Roman" w:hAnsi="Times New Roman" w:cs="Times New Roman"/>
                <w:b/>
                <w:bCs/>
                <w:color w:val="000000"/>
                <w:sz w:val="20"/>
                <w:szCs w:val="20"/>
              </w:rPr>
              <w:t>% of total</w:t>
            </w:r>
          </w:p>
        </w:tc>
      </w:tr>
      <w:tr w:rsidR="00F83361" w:rsidRPr="000900F6" w:rsidTr="00F83361">
        <w:trPr>
          <w:trHeight w:val="300"/>
        </w:trPr>
        <w:tc>
          <w:tcPr>
            <w:tcW w:w="608" w:type="dxa"/>
            <w:tcBorders>
              <w:bottom w:val="single" w:sz="4" w:space="0" w:color="auto"/>
            </w:tcBorders>
            <w:vAlign w:val="bottom"/>
            <w:hideMark/>
          </w:tcPr>
          <w:p w:rsidR="004155CB" w:rsidRPr="00541E49" w:rsidRDefault="004155CB" w:rsidP="00AB0F66">
            <w:pPr>
              <w:rPr>
                <w:rFonts w:ascii="Times New Roman" w:hAnsi="Times New Roman" w:cs="Times New Roman"/>
                <w:bCs/>
                <w:color w:val="000000"/>
                <w:sz w:val="20"/>
                <w:szCs w:val="20"/>
              </w:rPr>
            </w:pPr>
            <w:r w:rsidRPr="00541E49">
              <w:rPr>
                <w:rFonts w:ascii="Times New Roman" w:hAnsi="Times New Roman" w:cs="Times New Roman"/>
                <w:bCs/>
                <w:color w:val="000000"/>
                <w:sz w:val="20"/>
                <w:szCs w:val="20"/>
              </w:rPr>
              <w:t>16</w:t>
            </w:r>
          </w:p>
        </w:tc>
        <w:tc>
          <w:tcPr>
            <w:tcW w:w="517" w:type="dxa"/>
            <w:tcBorders>
              <w:bottom w:val="single" w:sz="4" w:space="0" w:color="auto"/>
            </w:tcBorders>
            <w:vAlign w:val="bottom"/>
            <w:hideMark/>
          </w:tcPr>
          <w:p w:rsidR="004155CB" w:rsidRPr="00541E49" w:rsidRDefault="004155CB" w:rsidP="00410716">
            <w:pPr>
              <w:jc w:val="right"/>
              <w:rPr>
                <w:rFonts w:ascii="Times New Roman" w:hAnsi="Times New Roman" w:cs="Times New Roman"/>
                <w:color w:val="000000"/>
                <w:sz w:val="20"/>
                <w:szCs w:val="20"/>
              </w:rPr>
            </w:pPr>
            <w:r w:rsidRPr="00541E49">
              <w:rPr>
                <w:rFonts w:ascii="Times New Roman" w:hAnsi="Times New Roman" w:cs="Times New Roman"/>
                <w:color w:val="000000"/>
                <w:sz w:val="20"/>
                <w:szCs w:val="20"/>
              </w:rPr>
              <w:t>368</w:t>
            </w:r>
          </w:p>
        </w:tc>
        <w:tc>
          <w:tcPr>
            <w:tcW w:w="800" w:type="dxa"/>
            <w:tcBorders>
              <w:bottom w:val="single" w:sz="4" w:space="0" w:color="auto"/>
            </w:tcBorders>
            <w:vAlign w:val="bottom"/>
            <w:hideMark/>
          </w:tcPr>
          <w:p w:rsidR="004155CB" w:rsidRPr="00541E49" w:rsidRDefault="004155CB" w:rsidP="00410716">
            <w:pPr>
              <w:jc w:val="right"/>
              <w:rPr>
                <w:rFonts w:ascii="Times New Roman" w:hAnsi="Times New Roman" w:cs="Times New Roman"/>
                <w:color w:val="000000"/>
                <w:sz w:val="20"/>
                <w:szCs w:val="20"/>
              </w:rPr>
            </w:pPr>
            <w:r w:rsidRPr="00541E49">
              <w:rPr>
                <w:rFonts w:ascii="Times New Roman" w:hAnsi="Times New Roman" w:cs="Times New Roman"/>
                <w:color w:val="000000"/>
                <w:sz w:val="20"/>
                <w:szCs w:val="20"/>
              </w:rPr>
              <w:t>1.2</w:t>
            </w:r>
          </w:p>
        </w:tc>
        <w:tc>
          <w:tcPr>
            <w:tcW w:w="343" w:type="dxa"/>
            <w:tcBorders>
              <w:bottom w:val="single" w:sz="4" w:space="0" w:color="auto"/>
            </w:tcBorders>
            <w:vAlign w:val="bottom"/>
            <w:hideMark/>
          </w:tcPr>
          <w:p w:rsidR="004155CB" w:rsidRPr="00541E49" w:rsidRDefault="004155CB" w:rsidP="00410716">
            <w:pPr>
              <w:jc w:val="right"/>
              <w:rPr>
                <w:rFonts w:ascii="Times New Roman" w:hAnsi="Times New Roman" w:cs="Times New Roman"/>
                <w:color w:val="000000"/>
                <w:sz w:val="20"/>
                <w:szCs w:val="20"/>
              </w:rPr>
            </w:pPr>
            <w:r w:rsidRPr="00541E49">
              <w:rPr>
                <w:rFonts w:ascii="Times New Roman" w:hAnsi="Times New Roman" w:cs="Times New Roman"/>
                <w:color w:val="000000"/>
                <w:sz w:val="20"/>
                <w:szCs w:val="20"/>
              </w:rPr>
              <w:t> </w:t>
            </w:r>
          </w:p>
        </w:tc>
        <w:tc>
          <w:tcPr>
            <w:tcW w:w="516" w:type="dxa"/>
            <w:tcBorders>
              <w:bottom w:val="single" w:sz="4" w:space="0" w:color="auto"/>
            </w:tcBorders>
            <w:vAlign w:val="bottom"/>
            <w:hideMark/>
          </w:tcPr>
          <w:p w:rsidR="004155CB" w:rsidRPr="00541E49" w:rsidRDefault="00410716" w:rsidP="002773B6">
            <w:pPr>
              <w:jc w:val="right"/>
              <w:rPr>
                <w:rFonts w:ascii="Times New Roman" w:hAnsi="Times New Roman" w:cs="Times New Roman"/>
                <w:color w:val="000000"/>
                <w:sz w:val="20"/>
                <w:szCs w:val="20"/>
              </w:rPr>
            </w:pPr>
            <w:r>
              <w:rPr>
                <w:rFonts w:ascii="Times New Roman" w:hAnsi="Times New Roman" w:cs="Times New Roman"/>
                <w:sz w:val="20"/>
                <w:szCs w:val="20"/>
              </w:rPr>
              <w:t>3</w:t>
            </w:r>
            <w:r w:rsidR="00541E49" w:rsidRPr="00541E49">
              <w:rPr>
                <w:rFonts w:ascii="Times New Roman" w:hAnsi="Times New Roman" w:cs="Times New Roman"/>
                <w:sz w:val="20"/>
                <w:szCs w:val="20"/>
              </w:rPr>
              <w:t>7</w:t>
            </w:r>
            <w:r w:rsidR="002773B6">
              <w:rPr>
                <w:rFonts w:ascii="Times New Roman" w:hAnsi="Times New Roman" w:cs="Times New Roman"/>
                <w:sz w:val="20"/>
                <w:szCs w:val="20"/>
              </w:rPr>
              <w:t>2</w:t>
            </w:r>
          </w:p>
        </w:tc>
        <w:tc>
          <w:tcPr>
            <w:tcW w:w="726" w:type="dxa"/>
            <w:tcBorders>
              <w:bottom w:val="single" w:sz="4" w:space="0" w:color="auto"/>
            </w:tcBorders>
            <w:vAlign w:val="bottom"/>
            <w:hideMark/>
          </w:tcPr>
          <w:p w:rsidR="004155CB" w:rsidRPr="00541E49" w:rsidRDefault="004155CB" w:rsidP="00410716">
            <w:pPr>
              <w:jc w:val="right"/>
              <w:rPr>
                <w:rFonts w:ascii="Times New Roman" w:hAnsi="Times New Roman" w:cs="Times New Roman"/>
                <w:color w:val="000000"/>
                <w:sz w:val="20"/>
                <w:szCs w:val="20"/>
              </w:rPr>
            </w:pPr>
            <w:r w:rsidRPr="00541E49">
              <w:rPr>
                <w:rFonts w:ascii="Times New Roman" w:hAnsi="Times New Roman" w:cs="Times New Roman"/>
                <w:color w:val="000000"/>
                <w:sz w:val="20"/>
                <w:szCs w:val="20"/>
              </w:rPr>
              <w:t>1.2</w:t>
            </w:r>
          </w:p>
        </w:tc>
        <w:tc>
          <w:tcPr>
            <w:tcW w:w="342" w:type="dxa"/>
            <w:tcBorders>
              <w:bottom w:val="single" w:sz="4" w:space="0" w:color="auto"/>
            </w:tcBorders>
            <w:vAlign w:val="bottom"/>
            <w:hideMark/>
          </w:tcPr>
          <w:p w:rsidR="004155CB" w:rsidRPr="00541E49" w:rsidRDefault="004155CB" w:rsidP="00410716">
            <w:pPr>
              <w:jc w:val="right"/>
              <w:rPr>
                <w:rFonts w:ascii="Times New Roman" w:hAnsi="Times New Roman" w:cs="Times New Roman"/>
                <w:color w:val="000000"/>
                <w:sz w:val="20"/>
                <w:szCs w:val="20"/>
              </w:rPr>
            </w:pPr>
            <w:r w:rsidRPr="00541E49">
              <w:rPr>
                <w:rFonts w:ascii="Times New Roman" w:hAnsi="Times New Roman" w:cs="Times New Roman"/>
                <w:color w:val="000000"/>
                <w:sz w:val="20"/>
                <w:szCs w:val="20"/>
              </w:rPr>
              <w:t> </w:t>
            </w:r>
          </w:p>
        </w:tc>
        <w:tc>
          <w:tcPr>
            <w:tcW w:w="516" w:type="dxa"/>
            <w:tcBorders>
              <w:bottom w:val="single" w:sz="4" w:space="0" w:color="auto"/>
            </w:tcBorders>
            <w:vAlign w:val="bottom"/>
            <w:hideMark/>
          </w:tcPr>
          <w:p w:rsidR="004155CB" w:rsidRPr="00541E49" w:rsidRDefault="00541E49" w:rsidP="002773B6">
            <w:pPr>
              <w:jc w:val="right"/>
              <w:rPr>
                <w:rFonts w:ascii="Times New Roman" w:hAnsi="Times New Roman" w:cs="Times New Roman"/>
                <w:color w:val="000000"/>
                <w:sz w:val="20"/>
                <w:szCs w:val="20"/>
              </w:rPr>
            </w:pPr>
            <w:r w:rsidRPr="00541E49">
              <w:rPr>
                <w:rFonts w:ascii="Times New Roman" w:hAnsi="Times New Roman" w:cs="Times New Roman"/>
                <w:sz w:val="20"/>
                <w:szCs w:val="20"/>
              </w:rPr>
              <w:t>37</w:t>
            </w:r>
            <w:r w:rsidR="002773B6">
              <w:rPr>
                <w:rFonts w:ascii="Times New Roman" w:hAnsi="Times New Roman" w:cs="Times New Roman"/>
                <w:sz w:val="20"/>
                <w:szCs w:val="20"/>
              </w:rPr>
              <w:t>5</w:t>
            </w:r>
          </w:p>
        </w:tc>
        <w:tc>
          <w:tcPr>
            <w:tcW w:w="702" w:type="dxa"/>
            <w:tcBorders>
              <w:bottom w:val="single" w:sz="4" w:space="0" w:color="auto"/>
            </w:tcBorders>
            <w:vAlign w:val="bottom"/>
            <w:hideMark/>
          </w:tcPr>
          <w:p w:rsidR="004155CB" w:rsidRPr="00541E49" w:rsidRDefault="004155CB" w:rsidP="00410716">
            <w:pPr>
              <w:jc w:val="right"/>
              <w:rPr>
                <w:rFonts w:ascii="Times New Roman" w:hAnsi="Times New Roman" w:cs="Times New Roman"/>
                <w:color w:val="000000"/>
                <w:sz w:val="20"/>
                <w:szCs w:val="20"/>
              </w:rPr>
            </w:pPr>
            <w:r w:rsidRPr="00541E49">
              <w:rPr>
                <w:rFonts w:ascii="Times New Roman" w:hAnsi="Times New Roman" w:cs="Times New Roman"/>
                <w:color w:val="000000"/>
                <w:sz w:val="20"/>
                <w:szCs w:val="20"/>
              </w:rPr>
              <w:t>1.</w:t>
            </w:r>
            <w:r w:rsidR="00541E49" w:rsidRPr="00541E49">
              <w:rPr>
                <w:rFonts w:ascii="Times New Roman" w:hAnsi="Times New Roman" w:cs="Times New Roman"/>
                <w:color w:val="000000"/>
                <w:sz w:val="20"/>
                <w:szCs w:val="20"/>
              </w:rPr>
              <w:t>2</w:t>
            </w:r>
          </w:p>
        </w:tc>
        <w:tc>
          <w:tcPr>
            <w:tcW w:w="283" w:type="dxa"/>
            <w:tcBorders>
              <w:bottom w:val="single" w:sz="4" w:space="0" w:color="auto"/>
            </w:tcBorders>
            <w:vAlign w:val="bottom"/>
            <w:hideMark/>
          </w:tcPr>
          <w:p w:rsidR="004155CB" w:rsidRPr="00541E49" w:rsidRDefault="004155CB" w:rsidP="00410716">
            <w:pPr>
              <w:jc w:val="right"/>
              <w:rPr>
                <w:rFonts w:ascii="Times New Roman" w:hAnsi="Times New Roman" w:cs="Times New Roman"/>
                <w:color w:val="000000"/>
                <w:sz w:val="20"/>
                <w:szCs w:val="20"/>
              </w:rPr>
            </w:pPr>
            <w:r w:rsidRPr="00541E49">
              <w:rPr>
                <w:rFonts w:ascii="Times New Roman" w:hAnsi="Times New Roman" w:cs="Times New Roman"/>
                <w:color w:val="000000"/>
                <w:sz w:val="20"/>
                <w:szCs w:val="20"/>
              </w:rPr>
              <w:t> </w:t>
            </w:r>
          </w:p>
        </w:tc>
        <w:tc>
          <w:tcPr>
            <w:tcW w:w="516" w:type="dxa"/>
            <w:tcBorders>
              <w:bottom w:val="single" w:sz="4" w:space="0" w:color="auto"/>
            </w:tcBorders>
            <w:vAlign w:val="bottom"/>
            <w:hideMark/>
          </w:tcPr>
          <w:p w:rsidR="004155CB" w:rsidRPr="00541E49" w:rsidRDefault="00541E49" w:rsidP="00410716">
            <w:pPr>
              <w:jc w:val="right"/>
              <w:rPr>
                <w:rFonts w:ascii="Times New Roman" w:hAnsi="Times New Roman" w:cs="Times New Roman"/>
                <w:color w:val="000000"/>
                <w:sz w:val="20"/>
                <w:szCs w:val="20"/>
              </w:rPr>
            </w:pPr>
            <w:r w:rsidRPr="00541E49">
              <w:rPr>
                <w:rFonts w:ascii="Times New Roman" w:hAnsi="Times New Roman" w:cs="Times New Roman"/>
                <w:sz w:val="20"/>
                <w:szCs w:val="20"/>
              </w:rPr>
              <w:t>267</w:t>
            </w:r>
          </w:p>
        </w:tc>
        <w:tc>
          <w:tcPr>
            <w:tcW w:w="659" w:type="dxa"/>
            <w:tcBorders>
              <w:bottom w:val="single" w:sz="4" w:space="0" w:color="auto"/>
            </w:tcBorders>
            <w:vAlign w:val="bottom"/>
            <w:hideMark/>
          </w:tcPr>
          <w:p w:rsidR="004155CB" w:rsidRPr="00541E49" w:rsidRDefault="004155CB" w:rsidP="00410716">
            <w:pPr>
              <w:jc w:val="right"/>
              <w:rPr>
                <w:rFonts w:ascii="Times New Roman" w:hAnsi="Times New Roman" w:cs="Times New Roman"/>
                <w:color w:val="000000"/>
                <w:sz w:val="20"/>
                <w:szCs w:val="20"/>
              </w:rPr>
            </w:pPr>
            <w:r w:rsidRPr="00541E49">
              <w:rPr>
                <w:rFonts w:ascii="Times New Roman" w:hAnsi="Times New Roman" w:cs="Times New Roman"/>
                <w:color w:val="000000"/>
                <w:sz w:val="20"/>
                <w:szCs w:val="20"/>
              </w:rPr>
              <w:t>0.9</w:t>
            </w:r>
          </w:p>
        </w:tc>
        <w:tc>
          <w:tcPr>
            <w:tcW w:w="343" w:type="dxa"/>
            <w:tcBorders>
              <w:bottom w:val="single" w:sz="4" w:space="0" w:color="auto"/>
            </w:tcBorders>
            <w:vAlign w:val="bottom"/>
            <w:hideMark/>
          </w:tcPr>
          <w:p w:rsidR="004155CB" w:rsidRPr="00541E49" w:rsidRDefault="004155CB" w:rsidP="00410716">
            <w:pPr>
              <w:jc w:val="right"/>
              <w:rPr>
                <w:rFonts w:ascii="Times New Roman" w:hAnsi="Times New Roman" w:cs="Times New Roman"/>
                <w:color w:val="000000"/>
                <w:sz w:val="20"/>
                <w:szCs w:val="20"/>
              </w:rPr>
            </w:pPr>
            <w:r w:rsidRPr="00541E49">
              <w:rPr>
                <w:rFonts w:ascii="Times New Roman" w:hAnsi="Times New Roman" w:cs="Times New Roman"/>
                <w:color w:val="000000"/>
                <w:sz w:val="20"/>
                <w:szCs w:val="20"/>
              </w:rPr>
              <w:t> </w:t>
            </w:r>
          </w:p>
        </w:tc>
        <w:tc>
          <w:tcPr>
            <w:tcW w:w="516" w:type="dxa"/>
            <w:tcBorders>
              <w:bottom w:val="single" w:sz="4" w:space="0" w:color="auto"/>
            </w:tcBorders>
            <w:vAlign w:val="bottom"/>
            <w:hideMark/>
          </w:tcPr>
          <w:p w:rsidR="004155CB" w:rsidRPr="00541E49" w:rsidRDefault="00541E49" w:rsidP="00410716">
            <w:pPr>
              <w:jc w:val="right"/>
              <w:rPr>
                <w:rFonts w:ascii="Times New Roman" w:hAnsi="Times New Roman" w:cs="Times New Roman"/>
                <w:color w:val="000000"/>
                <w:sz w:val="20"/>
                <w:szCs w:val="20"/>
              </w:rPr>
            </w:pPr>
            <w:r w:rsidRPr="00541E49">
              <w:rPr>
                <w:rFonts w:ascii="Times New Roman" w:hAnsi="Times New Roman" w:cs="Times New Roman"/>
                <w:sz w:val="20"/>
                <w:szCs w:val="20"/>
              </w:rPr>
              <w:t>215</w:t>
            </w:r>
          </w:p>
        </w:tc>
        <w:tc>
          <w:tcPr>
            <w:tcW w:w="659" w:type="dxa"/>
            <w:tcBorders>
              <w:bottom w:val="single" w:sz="4" w:space="0" w:color="auto"/>
            </w:tcBorders>
            <w:vAlign w:val="bottom"/>
            <w:hideMark/>
          </w:tcPr>
          <w:p w:rsidR="004155CB" w:rsidRPr="00541E49" w:rsidRDefault="004155CB" w:rsidP="00410716">
            <w:pPr>
              <w:jc w:val="right"/>
              <w:rPr>
                <w:rFonts w:ascii="Times New Roman" w:hAnsi="Times New Roman" w:cs="Times New Roman"/>
                <w:color w:val="000000"/>
                <w:sz w:val="20"/>
                <w:szCs w:val="20"/>
              </w:rPr>
            </w:pPr>
            <w:r w:rsidRPr="00541E49">
              <w:rPr>
                <w:rFonts w:ascii="Times New Roman" w:hAnsi="Times New Roman" w:cs="Times New Roman"/>
                <w:color w:val="000000"/>
                <w:sz w:val="20"/>
                <w:szCs w:val="20"/>
              </w:rPr>
              <w:t>0.7</w:t>
            </w:r>
          </w:p>
        </w:tc>
        <w:tc>
          <w:tcPr>
            <w:tcW w:w="346" w:type="dxa"/>
            <w:tcBorders>
              <w:bottom w:val="single" w:sz="4" w:space="0" w:color="auto"/>
            </w:tcBorders>
            <w:vAlign w:val="bottom"/>
            <w:hideMark/>
          </w:tcPr>
          <w:p w:rsidR="004155CB" w:rsidRPr="00541E49" w:rsidRDefault="004155CB" w:rsidP="00410716">
            <w:pPr>
              <w:jc w:val="right"/>
              <w:rPr>
                <w:rFonts w:ascii="Times New Roman" w:hAnsi="Times New Roman" w:cs="Times New Roman"/>
                <w:color w:val="000000"/>
                <w:sz w:val="20"/>
                <w:szCs w:val="20"/>
              </w:rPr>
            </w:pPr>
            <w:r w:rsidRPr="00541E49">
              <w:rPr>
                <w:rFonts w:ascii="Times New Roman" w:hAnsi="Times New Roman" w:cs="Times New Roman"/>
                <w:color w:val="000000"/>
                <w:sz w:val="20"/>
                <w:szCs w:val="20"/>
              </w:rPr>
              <w:t> </w:t>
            </w:r>
          </w:p>
        </w:tc>
        <w:tc>
          <w:tcPr>
            <w:tcW w:w="525" w:type="dxa"/>
            <w:tcBorders>
              <w:bottom w:val="single" w:sz="4" w:space="0" w:color="auto"/>
            </w:tcBorders>
            <w:vAlign w:val="bottom"/>
            <w:hideMark/>
          </w:tcPr>
          <w:p w:rsidR="004155CB" w:rsidRPr="00541E49" w:rsidRDefault="00541E49" w:rsidP="00410716">
            <w:pPr>
              <w:jc w:val="right"/>
              <w:rPr>
                <w:rFonts w:ascii="Times New Roman" w:hAnsi="Times New Roman" w:cs="Times New Roman"/>
                <w:color w:val="000000"/>
                <w:sz w:val="20"/>
                <w:szCs w:val="20"/>
              </w:rPr>
            </w:pPr>
            <w:r w:rsidRPr="00541E49">
              <w:rPr>
                <w:rFonts w:ascii="Times New Roman" w:hAnsi="Times New Roman" w:cs="Times New Roman"/>
                <w:sz w:val="20"/>
                <w:szCs w:val="20"/>
              </w:rPr>
              <w:t>348</w:t>
            </w:r>
          </w:p>
        </w:tc>
        <w:tc>
          <w:tcPr>
            <w:tcW w:w="659" w:type="dxa"/>
            <w:tcBorders>
              <w:bottom w:val="single" w:sz="4" w:space="0" w:color="auto"/>
            </w:tcBorders>
            <w:vAlign w:val="bottom"/>
            <w:hideMark/>
          </w:tcPr>
          <w:p w:rsidR="004155CB" w:rsidRPr="00541E49" w:rsidRDefault="004155CB" w:rsidP="00410716">
            <w:pPr>
              <w:jc w:val="right"/>
              <w:rPr>
                <w:rFonts w:ascii="Times New Roman" w:hAnsi="Times New Roman" w:cs="Times New Roman"/>
                <w:color w:val="000000"/>
                <w:sz w:val="20"/>
                <w:szCs w:val="20"/>
              </w:rPr>
            </w:pPr>
            <w:r w:rsidRPr="00541E49">
              <w:rPr>
                <w:rFonts w:ascii="Times New Roman" w:hAnsi="Times New Roman" w:cs="Times New Roman"/>
                <w:color w:val="000000"/>
                <w:sz w:val="20"/>
                <w:szCs w:val="20"/>
              </w:rPr>
              <w:t>1.1</w:t>
            </w:r>
          </w:p>
        </w:tc>
      </w:tr>
    </w:tbl>
    <w:p w:rsidR="00996CF6" w:rsidRDefault="00996CF6" w:rsidP="00C707DC">
      <w:pPr>
        <w:spacing w:after="0" w:line="240" w:lineRule="auto"/>
        <w:rPr>
          <w:rFonts w:ascii="Times New Roman" w:hAnsi="Times New Roman" w:cs="Times New Roman"/>
          <w:color w:val="000000"/>
          <w:sz w:val="20"/>
          <w:szCs w:val="20"/>
        </w:rPr>
      </w:pPr>
    </w:p>
    <w:p w:rsidR="008627FE" w:rsidRDefault="008627FE" w:rsidP="00C707D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This appears to be due</w:t>
      </w:r>
      <w:r w:rsidR="008F02B7">
        <w:rPr>
          <w:rFonts w:ascii="Times New Roman" w:hAnsi="Times New Roman" w:cs="Times New Roman"/>
          <w:color w:val="000000"/>
          <w:sz w:val="20"/>
          <w:szCs w:val="20"/>
        </w:rPr>
        <w:t xml:space="preserve"> to</w:t>
      </w:r>
      <w:r w:rsidR="005F0775">
        <w:rPr>
          <w:rFonts w:ascii="Times New Roman" w:hAnsi="Times New Roman" w:cs="Times New Roman"/>
          <w:color w:val="000000"/>
          <w:sz w:val="20"/>
          <w:szCs w:val="20"/>
        </w:rPr>
        <w:t xml:space="preserve"> the presence</w:t>
      </w:r>
      <w:r>
        <w:rPr>
          <w:rFonts w:ascii="Times New Roman" w:hAnsi="Times New Roman" w:cs="Times New Roman"/>
          <w:color w:val="000000"/>
          <w:sz w:val="20"/>
          <w:szCs w:val="20"/>
        </w:rPr>
        <w:t xml:space="preserve"> records with a true age on one side of the </w:t>
      </w:r>
      <w:r w:rsidR="00A96396">
        <w:rPr>
          <w:rFonts w:ascii="Times New Roman" w:hAnsi="Times New Roman" w:cs="Times New Roman"/>
          <w:color w:val="000000"/>
          <w:sz w:val="20"/>
          <w:szCs w:val="20"/>
        </w:rPr>
        <w:t xml:space="preserve">school age/working age </w:t>
      </w:r>
      <w:r>
        <w:rPr>
          <w:rFonts w:ascii="Times New Roman" w:hAnsi="Times New Roman" w:cs="Times New Roman"/>
          <w:color w:val="000000"/>
          <w:sz w:val="20"/>
          <w:szCs w:val="20"/>
        </w:rPr>
        <w:t>boundary and an admin age on the other side.</w:t>
      </w:r>
      <w:r w:rsidR="00FF3901">
        <w:rPr>
          <w:rFonts w:ascii="Times New Roman" w:hAnsi="Times New Roman" w:cs="Times New Roman"/>
          <w:color w:val="000000"/>
          <w:sz w:val="20"/>
          <w:szCs w:val="20"/>
        </w:rPr>
        <w:t xml:space="preserve"> The systematic differences between school age and working age records and the CANCEIS parameterisation used in the 2011 Census to maintain these differences meant that</w:t>
      </w:r>
      <w:r w:rsidR="00AD12CC">
        <w:rPr>
          <w:rFonts w:ascii="Times New Roman" w:hAnsi="Times New Roman" w:cs="Times New Roman"/>
          <w:color w:val="000000"/>
          <w:sz w:val="20"/>
          <w:szCs w:val="20"/>
        </w:rPr>
        <w:t>, for example,</w:t>
      </w:r>
      <w:r w:rsidR="00FF3901">
        <w:rPr>
          <w:rFonts w:ascii="Times New Roman" w:hAnsi="Times New Roman" w:cs="Times New Roman"/>
          <w:color w:val="000000"/>
          <w:sz w:val="20"/>
          <w:szCs w:val="20"/>
        </w:rPr>
        <w:t xml:space="preserve"> it was </w:t>
      </w:r>
      <w:r w:rsidR="00AD12CC">
        <w:rPr>
          <w:rFonts w:ascii="Times New Roman" w:hAnsi="Times New Roman" w:cs="Times New Roman"/>
          <w:color w:val="000000"/>
          <w:sz w:val="20"/>
          <w:szCs w:val="20"/>
        </w:rPr>
        <w:t>difficult</w:t>
      </w:r>
      <w:r w:rsidR="00FF3901">
        <w:rPr>
          <w:rFonts w:ascii="Times New Roman" w:hAnsi="Times New Roman" w:cs="Times New Roman"/>
          <w:color w:val="000000"/>
          <w:sz w:val="20"/>
          <w:szCs w:val="20"/>
        </w:rPr>
        <w:t xml:space="preserve"> for records with a true perturbed ag</w:t>
      </w:r>
      <w:r w:rsidR="00AD12CC">
        <w:rPr>
          <w:rFonts w:ascii="Times New Roman" w:hAnsi="Times New Roman" w:cs="Times New Roman"/>
          <w:color w:val="000000"/>
          <w:sz w:val="20"/>
          <w:szCs w:val="20"/>
        </w:rPr>
        <w:t>e of 10 and an admin age of 16</w:t>
      </w:r>
      <w:r w:rsidR="00FF3901">
        <w:rPr>
          <w:rFonts w:ascii="Times New Roman" w:hAnsi="Times New Roman" w:cs="Times New Roman"/>
          <w:color w:val="000000"/>
          <w:sz w:val="20"/>
          <w:szCs w:val="20"/>
        </w:rPr>
        <w:t xml:space="preserve"> </w:t>
      </w:r>
      <w:r w:rsidR="00AD12CC">
        <w:rPr>
          <w:rFonts w:ascii="Times New Roman" w:hAnsi="Times New Roman" w:cs="Times New Roman"/>
          <w:color w:val="000000"/>
          <w:sz w:val="20"/>
          <w:szCs w:val="20"/>
        </w:rPr>
        <w:t>to match to 16 year old</w:t>
      </w:r>
      <w:r w:rsidR="00FF3901">
        <w:rPr>
          <w:rFonts w:ascii="Times New Roman" w:hAnsi="Times New Roman" w:cs="Times New Roman"/>
          <w:color w:val="000000"/>
          <w:sz w:val="20"/>
          <w:szCs w:val="20"/>
        </w:rPr>
        <w:t xml:space="preserve"> potential donors, but for records with a true age of 16 and an admin age of 22, there was </w:t>
      </w:r>
      <w:r w:rsidR="00BE4AAF">
        <w:rPr>
          <w:rFonts w:ascii="Times New Roman" w:hAnsi="Times New Roman" w:cs="Times New Roman"/>
          <w:color w:val="000000"/>
          <w:sz w:val="20"/>
          <w:szCs w:val="20"/>
        </w:rPr>
        <w:t>little to prevent a match</w:t>
      </w:r>
      <w:r w:rsidR="00AD12CC">
        <w:rPr>
          <w:rFonts w:ascii="Times New Roman" w:hAnsi="Times New Roman" w:cs="Times New Roman"/>
          <w:color w:val="000000"/>
          <w:sz w:val="20"/>
          <w:szCs w:val="20"/>
        </w:rPr>
        <w:t xml:space="preserve"> to 22 year old</w:t>
      </w:r>
      <w:r w:rsidR="00FF3901">
        <w:rPr>
          <w:rFonts w:ascii="Times New Roman" w:hAnsi="Times New Roman" w:cs="Times New Roman"/>
          <w:color w:val="000000"/>
          <w:sz w:val="20"/>
          <w:szCs w:val="20"/>
        </w:rPr>
        <w:t xml:space="preserve"> donors, resulting in a net decrease in 16 year olds compared with the true distribution. </w:t>
      </w:r>
    </w:p>
    <w:p w:rsidR="008627FE" w:rsidRDefault="008627FE" w:rsidP="00C707DC">
      <w:pPr>
        <w:spacing w:after="0" w:line="240" w:lineRule="auto"/>
        <w:rPr>
          <w:rFonts w:ascii="Times New Roman" w:hAnsi="Times New Roman" w:cs="Times New Roman"/>
          <w:color w:val="000000"/>
          <w:sz w:val="20"/>
          <w:szCs w:val="20"/>
        </w:rPr>
      </w:pPr>
    </w:p>
    <w:p w:rsidR="001D58F2" w:rsidRDefault="00BF1248" w:rsidP="00C707D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+/- 12 years error condition perform</w:t>
      </w:r>
      <w:r w:rsidR="00C123A8">
        <w:rPr>
          <w:rFonts w:ascii="Times New Roman" w:hAnsi="Times New Roman" w:cs="Times New Roman"/>
          <w:color w:val="000000"/>
          <w:sz w:val="20"/>
          <w:szCs w:val="20"/>
        </w:rPr>
        <w:t>ed</w:t>
      </w:r>
      <w:r>
        <w:rPr>
          <w:rFonts w:ascii="Times New Roman" w:hAnsi="Times New Roman" w:cs="Times New Roman"/>
          <w:color w:val="000000"/>
          <w:sz w:val="20"/>
          <w:szCs w:val="20"/>
        </w:rPr>
        <w:t xml:space="preserve"> better than the +</w:t>
      </w:r>
      <w:r w:rsidR="00AD12CC">
        <w:rPr>
          <w:rFonts w:ascii="Times New Roman" w:hAnsi="Times New Roman" w:cs="Times New Roman"/>
          <w:color w:val="000000"/>
          <w:sz w:val="20"/>
          <w:szCs w:val="20"/>
        </w:rPr>
        <w:t>/-6 years condition</w:t>
      </w:r>
      <w:r>
        <w:rPr>
          <w:rFonts w:ascii="Times New Roman" w:hAnsi="Times New Roman" w:cs="Times New Roman"/>
          <w:color w:val="000000"/>
          <w:sz w:val="20"/>
          <w:szCs w:val="20"/>
        </w:rPr>
        <w:t xml:space="preserve"> in terms of distributional accuracy</w:t>
      </w:r>
      <w:r w:rsidR="00A15A08">
        <w:rPr>
          <w:rFonts w:ascii="Times New Roman" w:hAnsi="Times New Roman" w:cs="Times New Roman"/>
          <w:color w:val="000000"/>
          <w:sz w:val="20"/>
          <w:szCs w:val="20"/>
        </w:rPr>
        <w:t>, both in terms of absolute error over the whole distribution and at the school age/working age boundary</w:t>
      </w:r>
      <w:r>
        <w:rPr>
          <w:rFonts w:ascii="Times New Roman" w:hAnsi="Times New Roman" w:cs="Times New Roman"/>
          <w:color w:val="000000"/>
          <w:sz w:val="20"/>
          <w:szCs w:val="20"/>
        </w:rPr>
        <w:t xml:space="preserve">. This appears to be because the error in the admin age variable was so great that it could not be matched on closely while maintaining consistency with the observed data, resulting in </w:t>
      </w:r>
      <w:r w:rsidR="00020865">
        <w:rPr>
          <w:rFonts w:ascii="Times New Roman" w:hAnsi="Times New Roman" w:cs="Times New Roman"/>
          <w:color w:val="000000"/>
          <w:sz w:val="20"/>
          <w:szCs w:val="20"/>
        </w:rPr>
        <w:t>consistency being prioritised over matching on admin age</w:t>
      </w:r>
      <w:r>
        <w:rPr>
          <w:rFonts w:ascii="Times New Roman" w:hAnsi="Times New Roman" w:cs="Times New Roman"/>
          <w:color w:val="000000"/>
          <w:sz w:val="20"/>
          <w:szCs w:val="20"/>
        </w:rPr>
        <w:t xml:space="preserve">, </w:t>
      </w:r>
      <w:r w:rsidR="00020865">
        <w:rPr>
          <w:rFonts w:ascii="Times New Roman" w:hAnsi="Times New Roman" w:cs="Times New Roman"/>
          <w:color w:val="000000"/>
          <w:sz w:val="20"/>
          <w:szCs w:val="20"/>
        </w:rPr>
        <w:t xml:space="preserve">meaning that there was </w:t>
      </w:r>
      <w:r w:rsidR="00A32219">
        <w:rPr>
          <w:rFonts w:ascii="Times New Roman" w:hAnsi="Times New Roman" w:cs="Times New Roman"/>
          <w:color w:val="000000"/>
          <w:sz w:val="20"/>
          <w:szCs w:val="20"/>
        </w:rPr>
        <w:t>a higher</w:t>
      </w:r>
      <w:r>
        <w:rPr>
          <w:rFonts w:ascii="Times New Roman" w:hAnsi="Times New Roman" w:cs="Times New Roman"/>
          <w:color w:val="000000"/>
          <w:sz w:val="20"/>
          <w:szCs w:val="20"/>
        </w:rPr>
        <w:t xml:space="preserve"> chance</w:t>
      </w:r>
      <w:r w:rsidR="00C123A8">
        <w:rPr>
          <w:rFonts w:ascii="Times New Roman" w:hAnsi="Times New Roman" w:cs="Times New Roman"/>
          <w:color w:val="000000"/>
          <w:sz w:val="20"/>
          <w:szCs w:val="20"/>
        </w:rPr>
        <w:t xml:space="preserve"> of</w:t>
      </w:r>
      <w:r>
        <w:rPr>
          <w:rFonts w:ascii="Times New Roman" w:hAnsi="Times New Roman" w:cs="Times New Roman"/>
          <w:color w:val="000000"/>
          <w:sz w:val="20"/>
          <w:szCs w:val="20"/>
        </w:rPr>
        <w:t xml:space="preserve"> recover</w:t>
      </w:r>
      <w:r w:rsidR="00C123A8">
        <w:rPr>
          <w:rFonts w:ascii="Times New Roman" w:hAnsi="Times New Roman" w:cs="Times New Roman"/>
          <w:color w:val="000000"/>
          <w:sz w:val="20"/>
          <w:szCs w:val="20"/>
        </w:rPr>
        <w:t>ing</w:t>
      </w:r>
      <w:r>
        <w:rPr>
          <w:rFonts w:ascii="Times New Roman" w:hAnsi="Times New Roman" w:cs="Times New Roman"/>
          <w:color w:val="000000"/>
          <w:sz w:val="20"/>
          <w:szCs w:val="20"/>
        </w:rPr>
        <w:t xml:space="preserve"> the true </w:t>
      </w:r>
      <w:r w:rsidR="003001C8">
        <w:rPr>
          <w:rFonts w:ascii="Times New Roman" w:hAnsi="Times New Roman" w:cs="Times New Roman"/>
          <w:color w:val="000000"/>
          <w:sz w:val="20"/>
          <w:szCs w:val="20"/>
        </w:rPr>
        <w:t xml:space="preserve">age </w:t>
      </w:r>
      <w:r>
        <w:rPr>
          <w:rFonts w:ascii="Times New Roman" w:hAnsi="Times New Roman" w:cs="Times New Roman"/>
          <w:color w:val="000000"/>
          <w:sz w:val="20"/>
          <w:szCs w:val="20"/>
        </w:rPr>
        <w:t>distribution.</w:t>
      </w:r>
      <w:r w:rsidR="001A7859">
        <w:rPr>
          <w:rFonts w:ascii="Times New Roman" w:hAnsi="Times New Roman" w:cs="Times New Roman"/>
          <w:color w:val="000000"/>
          <w:sz w:val="20"/>
          <w:szCs w:val="20"/>
        </w:rPr>
        <w:t xml:space="preserve"> In this situation</w:t>
      </w:r>
      <w:r w:rsidR="00053761">
        <w:rPr>
          <w:rFonts w:ascii="Times New Roman" w:hAnsi="Times New Roman" w:cs="Times New Roman"/>
          <w:color w:val="000000"/>
          <w:sz w:val="20"/>
          <w:szCs w:val="20"/>
        </w:rPr>
        <w:t>,</w:t>
      </w:r>
      <w:r w:rsidR="001A7859">
        <w:rPr>
          <w:rFonts w:ascii="Times New Roman" w:hAnsi="Times New Roman" w:cs="Times New Roman"/>
          <w:color w:val="000000"/>
          <w:sz w:val="20"/>
          <w:szCs w:val="20"/>
        </w:rPr>
        <w:t xml:space="preserve"> therefore, the observed Census data</w:t>
      </w:r>
      <w:r w:rsidR="006E7DB9">
        <w:rPr>
          <w:rFonts w:ascii="Times New Roman" w:hAnsi="Times New Roman" w:cs="Times New Roman"/>
          <w:color w:val="000000"/>
          <w:sz w:val="20"/>
          <w:szCs w:val="20"/>
        </w:rPr>
        <w:t xml:space="preserve"> is</w:t>
      </w:r>
      <w:r w:rsidR="001A7859">
        <w:rPr>
          <w:rFonts w:ascii="Times New Roman" w:hAnsi="Times New Roman" w:cs="Times New Roman"/>
          <w:color w:val="000000"/>
          <w:sz w:val="20"/>
          <w:szCs w:val="20"/>
        </w:rPr>
        <w:t xml:space="preserve"> </w:t>
      </w:r>
      <w:r w:rsidR="003001C8">
        <w:rPr>
          <w:rFonts w:ascii="Times New Roman" w:hAnsi="Times New Roman" w:cs="Times New Roman"/>
          <w:color w:val="000000"/>
          <w:sz w:val="20"/>
          <w:szCs w:val="20"/>
        </w:rPr>
        <w:t>effectively</w:t>
      </w:r>
      <w:r w:rsidR="001A7859">
        <w:rPr>
          <w:rFonts w:ascii="Times New Roman" w:hAnsi="Times New Roman" w:cs="Times New Roman"/>
          <w:color w:val="000000"/>
          <w:sz w:val="20"/>
          <w:szCs w:val="20"/>
        </w:rPr>
        <w:t xml:space="preserve"> protected from high levels of error in the </w:t>
      </w:r>
      <w:r w:rsidR="004A3C10">
        <w:rPr>
          <w:rFonts w:ascii="Times New Roman" w:hAnsi="Times New Roman" w:cs="Times New Roman"/>
          <w:color w:val="000000"/>
          <w:sz w:val="20"/>
          <w:szCs w:val="20"/>
        </w:rPr>
        <w:t xml:space="preserve">administrative </w:t>
      </w:r>
      <w:r w:rsidR="001A7859">
        <w:rPr>
          <w:rFonts w:ascii="Times New Roman" w:hAnsi="Times New Roman" w:cs="Times New Roman"/>
          <w:color w:val="000000"/>
          <w:sz w:val="20"/>
          <w:szCs w:val="20"/>
        </w:rPr>
        <w:t>data.</w:t>
      </w:r>
    </w:p>
    <w:p w:rsidR="00BF1248" w:rsidRDefault="00BF1248" w:rsidP="00C707DC">
      <w:pPr>
        <w:spacing w:after="0" w:line="240" w:lineRule="auto"/>
        <w:rPr>
          <w:rFonts w:ascii="Times New Roman" w:hAnsi="Times New Roman" w:cs="Times New Roman"/>
          <w:color w:val="000000"/>
          <w:sz w:val="20"/>
          <w:szCs w:val="20"/>
        </w:rPr>
      </w:pPr>
    </w:p>
    <w:p w:rsidR="00D956F7" w:rsidRPr="00DD58FB" w:rsidRDefault="00D956F7" w:rsidP="00DD58FB">
      <w:pPr>
        <w:pStyle w:val="ListParagraph"/>
        <w:numPr>
          <w:ilvl w:val="1"/>
          <w:numId w:val="3"/>
        </w:numPr>
        <w:rPr>
          <w:rFonts w:ascii="Times New Roman" w:hAnsi="Times New Roman" w:cs="Times New Roman"/>
          <w:b/>
          <w:sz w:val="20"/>
          <w:szCs w:val="20"/>
        </w:rPr>
      </w:pPr>
      <w:r w:rsidRPr="00DD58FB">
        <w:rPr>
          <w:rFonts w:ascii="Times New Roman" w:hAnsi="Times New Roman" w:cs="Times New Roman"/>
          <w:b/>
          <w:sz w:val="20"/>
          <w:szCs w:val="20"/>
        </w:rPr>
        <w:t>Other measures</w:t>
      </w:r>
    </w:p>
    <w:p w:rsidR="001A7859" w:rsidRDefault="00C123A8" w:rsidP="001A7859">
      <w:pPr>
        <w:spacing w:after="0" w:line="240" w:lineRule="auto"/>
        <w:rPr>
          <w:rFonts w:ascii="Times New Roman" w:hAnsi="Times New Roman" w:cs="Times New Roman"/>
          <w:sz w:val="20"/>
          <w:szCs w:val="20"/>
        </w:rPr>
      </w:pPr>
      <w:r w:rsidRPr="00C123A8">
        <w:rPr>
          <w:rFonts w:ascii="Times New Roman" w:hAnsi="Times New Roman" w:cs="Times New Roman"/>
          <w:sz w:val="20"/>
          <w:szCs w:val="20"/>
        </w:rPr>
        <w:lastRenderedPageBreak/>
        <w:t>Some other key measures of imputation</w:t>
      </w:r>
      <w:r w:rsidR="00F03139">
        <w:rPr>
          <w:rFonts w:ascii="Times New Roman" w:hAnsi="Times New Roman" w:cs="Times New Roman"/>
          <w:sz w:val="20"/>
          <w:szCs w:val="20"/>
        </w:rPr>
        <w:t xml:space="preserve"> accuracy were also analysed (T</w:t>
      </w:r>
      <w:r w:rsidR="00C54A4C">
        <w:rPr>
          <w:rFonts w:ascii="Times New Roman" w:hAnsi="Times New Roman" w:cs="Times New Roman"/>
          <w:sz w:val="20"/>
          <w:szCs w:val="20"/>
        </w:rPr>
        <w:t>able 2.3-1).</w:t>
      </w:r>
      <w:r w:rsidR="001813D3">
        <w:rPr>
          <w:rFonts w:ascii="Times New Roman" w:hAnsi="Times New Roman" w:cs="Times New Roman"/>
          <w:sz w:val="20"/>
          <w:szCs w:val="20"/>
        </w:rPr>
        <w:t xml:space="preserve"> </w:t>
      </w:r>
      <w:r w:rsidR="004A3C10">
        <w:rPr>
          <w:rFonts w:ascii="Times New Roman" w:hAnsi="Times New Roman" w:cs="Times New Roman"/>
          <w:sz w:val="20"/>
          <w:szCs w:val="20"/>
        </w:rPr>
        <w:t xml:space="preserve">Administrative </w:t>
      </w:r>
      <w:r w:rsidR="001813D3">
        <w:rPr>
          <w:rFonts w:ascii="Times New Roman" w:hAnsi="Times New Roman" w:cs="Times New Roman"/>
          <w:sz w:val="20"/>
          <w:szCs w:val="20"/>
        </w:rPr>
        <w:t xml:space="preserve">data of any quality led to a reduction in the size of the donor pool and restricted the age range of the potential donors to </w:t>
      </w:r>
      <w:r w:rsidR="00F03139">
        <w:rPr>
          <w:rFonts w:ascii="Times New Roman" w:hAnsi="Times New Roman" w:cs="Times New Roman"/>
          <w:sz w:val="20"/>
          <w:szCs w:val="20"/>
        </w:rPr>
        <w:t xml:space="preserve">only </w:t>
      </w:r>
      <w:r w:rsidR="001813D3">
        <w:rPr>
          <w:rFonts w:ascii="Times New Roman" w:hAnsi="Times New Roman" w:cs="Times New Roman"/>
          <w:sz w:val="20"/>
          <w:szCs w:val="20"/>
        </w:rPr>
        <w:t>those that matched the admin age very closely.</w:t>
      </w:r>
      <w:r w:rsidR="000D5079">
        <w:rPr>
          <w:rFonts w:ascii="Times New Roman" w:hAnsi="Times New Roman" w:cs="Times New Roman"/>
          <w:sz w:val="20"/>
          <w:szCs w:val="20"/>
        </w:rPr>
        <w:t xml:space="preserve"> The +/- 12 years condition restricted the donors less than the other conditions for the reasons stated </w:t>
      </w:r>
      <w:r w:rsidR="00DE4735">
        <w:rPr>
          <w:rFonts w:ascii="Times New Roman" w:hAnsi="Times New Roman" w:cs="Times New Roman"/>
          <w:sz w:val="20"/>
          <w:szCs w:val="20"/>
        </w:rPr>
        <w:t>in section 2.2</w:t>
      </w:r>
      <w:r w:rsidR="000D5079">
        <w:rPr>
          <w:rFonts w:ascii="Times New Roman" w:hAnsi="Times New Roman" w:cs="Times New Roman"/>
          <w:sz w:val="20"/>
          <w:szCs w:val="20"/>
        </w:rPr>
        <w:t xml:space="preserve"> – </w:t>
      </w:r>
      <w:r w:rsidR="00DE4735">
        <w:rPr>
          <w:rFonts w:ascii="Times New Roman" w:hAnsi="Times New Roman" w:cs="Times New Roman"/>
          <w:sz w:val="20"/>
          <w:szCs w:val="20"/>
        </w:rPr>
        <w:t>at</w:t>
      </w:r>
      <w:r w:rsidR="00F03139">
        <w:rPr>
          <w:rFonts w:ascii="Times New Roman" w:hAnsi="Times New Roman" w:cs="Times New Roman"/>
          <w:sz w:val="20"/>
          <w:szCs w:val="20"/>
        </w:rPr>
        <w:t xml:space="preserve"> this level of error </w:t>
      </w:r>
      <w:r w:rsidR="000D5079">
        <w:rPr>
          <w:rFonts w:ascii="Times New Roman" w:hAnsi="Times New Roman" w:cs="Times New Roman"/>
          <w:sz w:val="20"/>
          <w:szCs w:val="20"/>
        </w:rPr>
        <w:t>it was</w:t>
      </w:r>
      <w:r w:rsidR="00F03139">
        <w:rPr>
          <w:rFonts w:ascii="Times New Roman" w:hAnsi="Times New Roman" w:cs="Times New Roman"/>
          <w:sz w:val="20"/>
          <w:szCs w:val="20"/>
        </w:rPr>
        <w:t xml:space="preserve"> simply</w:t>
      </w:r>
      <w:r w:rsidR="000D5079">
        <w:rPr>
          <w:rFonts w:ascii="Times New Roman" w:hAnsi="Times New Roman" w:cs="Times New Roman"/>
          <w:sz w:val="20"/>
          <w:szCs w:val="20"/>
        </w:rPr>
        <w:t xml:space="preserve"> not possible to</w:t>
      </w:r>
      <w:r w:rsidR="00F03139">
        <w:rPr>
          <w:rFonts w:ascii="Times New Roman" w:hAnsi="Times New Roman" w:cs="Times New Roman"/>
          <w:sz w:val="20"/>
          <w:szCs w:val="20"/>
        </w:rPr>
        <w:t xml:space="preserve"> find donors that</w:t>
      </w:r>
      <w:r w:rsidR="000D5079">
        <w:rPr>
          <w:rFonts w:ascii="Times New Roman" w:hAnsi="Times New Roman" w:cs="Times New Roman"/>
          <w:sz w:val="20"/>
          <w:szCs w:val="20"/>
        </w:rPr>
        <w:t xml:space="preserve"> match</w:t>
      </w:r>
      <w:r w:rsidR="00F03139">
        <w:rPr>
          <w:rFonts w:ascii="Times New Roman" w:hAnsi="Times New Roman" w:cs="Times New Roman"/>
          <w:sz w:val="20"/>
          <w:szCs w:val="20"/>
        </w:rPr>
        <w:t>ed</w:t>
      </w:r>
      <w:r w:rsidR="000D5079">
        <w:rPr>
          <w:rFonts w:ascii="Times New Roman" w:hAnsi="Times New Roman" w:cs="Times New Roman"/>
          <w:sz w:val="20"/>
          <w:szCs w:val="20"/>
        </w:rPr>
        <w:t xml:space="preserve"> closely on admin age while maintaining consistency with the observed variables</w:t>
      </w:r>
      <w:r w:rsidR="00F03139">
        <w:rPr>
          <w:rFonts w:ascii="Times New Roman" w:hAnsi="Times New Roman" w:cs="Times New Roman"/>
          <w:sz w:val="20"/>
          <w:szCs w:val="20"/>
        </w:rPr>
        <w:t xml:space="preserve"> for a large number of records</w:t>
      </w:r>
      <w:r w:rsidR="000D5079">
        <w:rPr>
          <w:rFonts w:ascii="Times New Roman" w:hAnsi="Times New Roman" w:cs="Times New Roman"/>
          <w:sz w:val="20"/>
          <w:szCs w:val="20"/>
        </w:rPr>
        <w:t xml:space="preserve">. </w:t>
      </w:r>
    </w:p>
    <w:p w:rsidR="001A7859" w:rsidRDefault="001A7859" w:rsidP="001A7859">
      <w:pPr>
        <w:spacing w:after="0" w:line="240" w:lineRule="auto"/>
        <w:rPr>
          <w:rFonts w:ascii="Times New Roman" w:hAnsi="Times New Roman" w:cs="Times New Roman"/>
          <w:sz w:val="20"/>
          <w:szCs w:val="20"/>
        </w:rPr>
      </w:pPr>
    </w:p>
    <w:p w:rsidR="00DD58FB" w:rsidRDefault="00007E2F" w:rsidP="001A7859">
      <w:pPr>
        <w:spacing w:after="0" w:line="240" w:lineRule="auto"/>
        <w:rPr>
          <w:rFonts w:ascii="Times New Roman" w:hAnsi="Times New Roman" w:cs="Times New Roman"/>
          <w:sz w:val="20"/>
          <w:szCs w:val="20"/>
        </w:rPr>
      </w:pPr>
      <w:r>
        <w:rPr>
          <w:rFonts w:ascii="Times New Roman" w:hAnsi="Times New Roman" w:cs="Times New Roman"/>
          <w:sz w:val="20"/>
          <w:szCs w:val="20"/>
        </w:rPr>
        <w:t>As would be expected, t</w:t>
      </w:r>
      <w:r w:rsidR="000D5079">
        <w:rPr>
          <w:rFonts w:ascii="Times New Roman" w:hAnsi="Times New Roman" w:cs="Times New Roman"/>
          <w:sz w:val="20"/>
          <w:szCs w:val="20"/>
        </w:rPr>
        <w:t xml:space="preserve">he </w:t>
      </w:r>
      <w:r w:rsidR="003744DE">
        <w:rPr>
          <w:rFonts w:ascii="Times New Roman" w:hAnsi="Times New Roman" w:cs="Times New Roman"/>
          <w:sz w:val="20"/>
          <w:szCs w:val="20"/>
        </w:rPr>
        <w:t>percentage</w:t>
      </w:r>
      <w:r w:rsidR="000D5079">
        <w:rPr>
          <w:rFonts w:ascii="Times New Roman" w:hAnsi="Times New Roman" w:cs="Times New Roman"/>
          <w:sz w:val="20"/>
          <w:szCs w:val="20"/>
        </w:rPr>
        <w:t xml:space="preserve"> of records</w:t>
      </w:r>
      <w:r w:rsidR="003744DE">
        <w:rPr>
          <w:rFonts w:ascii="Times New Roman" w:hAnsi="Times New Roman" w:cs="Times New Roman"/>
          <w:sz w:val="20"/>
          <w:szCs w:val="20"/>
        </w:rPr>
        <w:t xml:space="preserve"> that would fail the edit checks if the admin</w:t>
      </w:r>
      <w:r>
        <w:rPr>
          <w:rFonts w:ascii="Times New Roman" w:hAnsi="Times New Roman" w:cs="Times New Roman"/>
          <w:sz w:val="20"/>
          <w:szCs w:val="20"/>
        </w:rPr>
        <w:t xml:space="preserve"> age</w:t>
      </w:r>
      <w:r w:rsidR="003744DE">
        <w:rPr>
          <w:rFonts w:ascii="Times New Roman" w:hAnsi="Times New Roman" w:cs="Times New Roman"/>
          <w:sz w:val="20"/>
          <w:szCs w:val="20"/>
        </w:rPr>
        <w:t xml:space="preserve"> was directly substituted </w:t>
      </w:r>
      <w:r w:rsidR="00092C92">
        <w:rPr>
          <w:rFonts w:ascii="Times New Roman" w:hAnsi="Times New Roman" w:cs="Times New Roman"/>
          <w:sz w:val="20"/>
          <w:szCs w:val="20"/>
        </w:rPr>
        <w:t>into the census age</w:t>
      </w:r>
      <w:r w:rsidR="003744DE">
        <w:rPr>
          <w:rFonts w:ascii="Times New Roman" w:hAnsi="Times New Roman" w:cs="Times New Roman"/>
          <w:sz w:val="20"/>
          <w:szCs w:val="20"/>
        </w:rPr>
        <w:t xml:space="preserve"> increase</w:t>
      </w:r>
      <w:r w:rsidR="004C681E">
        <w:rPr>
          <w:rFonts w:ascii="Times New Roman" w:hAnsi="Times New Roman" w:cs="Times New Roman"/>
          <w:sz w:val="20"/>
          <w:szCs w:val="20"/>
        </w:rPr>
        <w:t>d</w:t>
      </w:r>
      <w:r>
        <w:rPr>
          <w:rFonts w:ascii="Times New Roman" w:hAnsi="Times New Roman" w:cs="Times New Roman"/>
          <w:sz w:val="20"/>
          <w:szCs w:val="20"/>
        </w:rPr>
        <w:t xml:space="preserve"> as the </w:t>
      </w:r>
      <w:r w:rsidR="004A3C10">
        <w:rPr>
          <w:rFonts w:ascii="Times New Roman" w:hAnsi="Times New Roman" w:cs="Times New Roman"/>
          <w:sz w:val="20"/>
          <w:szCs w:val="20"/>
        </w:rPr>
        <w:t xml:space="preserve">administrative </w:t>
      </w:r>
      <w:r>
        <w:rPr>
          <w:rFonts w:ascii="Times New Roman" w:hAnsi="Times New Roman" w:cs="Times New Roman"/>
          <w:sz w:val="20"/>
          <w:szCs w:val="20"/>
        </w:rPr>
        <w:t>error increase</w:t>
      </w:r>
      <w:r w:rsidR="004C681E">
        <w:rPr>
          <w:rFonts w:ascii="Times New Roman" w:hAnsi="Times New Roman" w:cs="Times New Roman"/>
          <w:sz w:val="20"/>
          <w:szCs w:val="20"/>
        </w:rPr>
        <w:t>d</w:t>
      </w:r>
      <w:r w:rsidR="003744DE">
        <w:rPr>
          <w:rFonts w:ascii="Times New Roman" w:hAnsi="Times New Roman" w:cs="Times New Roman"/>
          <w:sz w:val="20"/>
          <w:szCs w:val="20"/>
        </w:rPr>
        <w:t xml:space="preserve">, </w:t>
      </w:r>
      <w:r w:rsidR="00092C92">
        <w:rPr>
          <w:rFonts w:ascii="Times New Roman" w:hAnsi="Times New Roman" w:cs="Times New Roman"/>
          <w:sz w:val="20"/>
          <w:szCs w:val="20"/>
        </w:rPr>
        <w:t>reaching</w:t>
      </w:r>
      <w:r w:rsidR="003744DE">
        <w:rPr>
          <w:rFonts w:ascii="Times New Roman" w:hAnsi="Times New Roman" w:cs="Times New Roman"/>
          <w:sz w:val="20"/>
          <w:szCs w:val="20"/>
        </w:rPr>
        <w:t xml:space="preserve"> almost 20% for the +/- 12 years condition.</w:t>
      </w:r>
      <w:r w:rsidR="00C96C23">
        <w:rPr>
          <w:rFonts w:ascii="Times New Roman" w:hAnsi="Times New Roman" w:cs="Times New Roman"/>
          <w:sz w:val="20"/>
          <w:szCs w:val="20"/>
        </w:rPr>
        <w:t xml:space="preserve"> This is important because the observed census data </w:t>
      </w:r>
      <w:r w:rsidR="00EF28C2">
        <w:rPr>
          <w:rFonts w:ascii="Times New Roman" w:hAnsi="Times New Roman" w:cs="Times New Roman"/>
          <w:sz w:val="20"/>
          <w:szCs w:val="20"/>
        </w:rPr>
        <w:t>are</w:t>
      </w:r>
      <w:r w:rsidR="00092C92">
        <w:rPr>
          <w:rFonts w:ascii="Times New Roman" w:hAnsi="Times New Roman" w:cs="Times New Roman"/>
          <w:sz w:val="20"/>
          <w:szCs w:val="20"/>
        </w:rPr>
        <w:t xml:space="preserve"> assumed to be</w:t>
      </w:r>
      <w:r w:rsidR="00C96C23">
        <w:rPr>
          <w:rFonts w:ascii="Times New Roman" w:hAnsi="Times New Roman" w:cs="Times New Roman"/>
          <w:sz w:val="20"/>
          <w:szCs w:val="20"/>
        </w:rPr>
        <w:t xml:space="preserve"> the ‘truth’ so, if the </w:t>
      </w:r>
      <w:r w:rsidR="004A3C10">
        <w:rPr>
          <w:rFonts w:ascii="Times New Roman" w:hAnsi="Times New Roman" w:cs="Times New Roman"/>
          <w:sz w:val="20"/>
          <w:szCs w:val="20"/>
        </w:rPr>
        <w:t xml:space="preserve">administrative </w:t>
      </w:r>
      <w:r w:rsidR="00C96C23">
        <w:rPr>
          <w:rFonts w:ascii="Times New Roman" w:hAnsi="Times New Roman" w:cs="Times New Roman"/>
          <w:sz w:val="20"/>
          <w:szCs w:val="20"/>
        </w:rPr>
        <w:t>data are inconsistent</w:t>
      </w:r>
      <w:r w:rsidR="00177373">
        <w:rPr>
          <w:rFonts w:ascii="Times New Roman" w:hAnsi="Times New Roman" w:cs="Times New Roman"/>
          <w:sz w:val="20"/>
          <w:szCs w:val="20"/>
        </w:rPr>
        <w:t xml:space="preserve"> with them</w:t>
      </w:r>
      <w:r w:rsidR="00C96C23">
        <w:rPr>
          <w:rFonts w:ascii="Times New Roman" w:hAnsi="Times New Roman" w:cs="Times New Roman"/>
          <w:sz w:val="20"/>
          <w:szCs w:val="20"/>
        </w:rPr>
        <w:t>, there is a risk that observed data could be changed</w:t>
      </w:r>
      <w:r w:rsidR="00447603">
        <w:rPr>
          <w:rFonts w:ascii="Times New Roman" w:hAnsi="Times New Roman" w:cs="Times New Roman"/>
          <w:sz w:val="20"/>
          <w:szCs w:val="20"/>
        </w:rPr>
        <w:t xml:space="preserve"> on the basis of the </w:t>
      </w:r>
      <w:r w:rsidR="004A3C10">
        <w:rPr>
          <w:rFonts w:ascii="Times New Roman" w:hAnsi="Times New Roman" w:cs="Times New Roman"/>
          <w:sz w:val="20"/>
          <w:szCs w:val="20"/>
        </w:rPr>
        <w:t xml:space="preserve">administrative </w:t>
      </w:r>
      <w:r w:rsidR="00447603">
        <w:rPr>
          <w:rFonts w:ascii="Times New Roman" w:hAnsi="Times New Roman" w:cs="Times New Roman"/>
          <w:sz w:val="20"/>
          <w:szCs w:val="20"/>
        </w:rPr>
        <w:t xml:space="preserve">data if </w:t>
      </w:r>
      <w:r w:rsidR="00155453">
        <w:rPr>
          <w:rFonts w:ascii="Times New Roman" w:hAnsi="Times New Roman" w:cs="Times New Roman"/>
          <w:sz w:val="20"/>
          <w:szCs w:val="20"/>
        </w:rPr>
        <w:t xml:space="preserve">the </w:t>
      </w:r>
      <w:r w:rsidR="00447603">
        <w:rPr>
          <w:rFonts w:ascii="Times New Roman" w:hAnsi="Times New Roman" w:cs="Times New Roman"/>
          <w:sz w:val="20"/>
          <w:szCs w:val="20"/>
        </w:rPr>
        <w:t>conv</w:t>
      </w:r>
      <w:r w:rsidR="00155453">
        <w:rPr>
          <w:rFonts w:ascii="Times New Roman" w:hAnsi="Times New Roman" w:cs="Times New Roman"/>
          <w:sz w:val="20"/>
          <w:szCs w:val="20"/>
        </w:rPr>
        <w:t>entional edit rules are implemented</w:t>
      </w:r>
      <w:r w:rsidR="00C96C23">
        <w:rPr>
          <w:rFonts w:ascii="Times New Roman" w:hAnsi="Times New Roman" w:cs="Times New Roman"/>
          <w:sz w:val="20"/>
          <w:szCs w:val="20"/>
        </w:rPr>
        <w:t>.</w:t>
      </w:r>
      <w:r w:rsidR="001A7859">
        <w:rPr>
          <w:rFonts w:ascii="Times New Roman" w:hAnsi="Times New Roman" w:cs="Times New Roman"/>
          <w:sz w:val="20"/>
          <w:szCs w:val="20"/>
        </w:rPr>
        <w:t xml:space="preserve"> The fact that the imputation method implemented in CANCEIS is able to protect observed data from inconsistent</w:t>
      </w:r>
      <w:r w:rsidR="00AF20C3">
        <w:rPr>
          <w:rFonts w:ascii="Times New Roman" w:hAnsi="Times New Roman" w:cs="Times New Roman"/>
          <w:sz w:val="20"/>
          <w:szCs w:val="20"/>
        </w:rPr>
        <w:t xml:space="preserve"> </w:t>
      </w:r>
      <w:r w:rsidR="004A3C10">
        <w:rPr>
          <w:rFonts w:ascii="Times New Roman" w:hAnsi="Times New Roman" w:cs="Times New Roman"/>
          <w:sz w:val="20"/>
          <w:szCs w:val="20"/>
        </w:rPr>
        <w:t xml:space="preserve">administrative </w:t>
      </w:r>
      <w:r w:rsidR="00AF20C3">
        <w:rPr>
          <w:rFonts w:ascii="Times New Roman" w:hAnsi="Times New Roman" w:cs="Times New Roman"/>
          <w:sz w:val="20"/>
          <w:szCs w:val="20"/>
        </w:rPr>
        <w:t>data is therefore a</w:t>
      </w:r>
      <w:r w:rsidR="006F37CD">
        <w:rPr>
          <w:rFonts w:ascii="Times New Roman" w:hAnsi="Times New Roman" w:cs="Times New Roman"/>
          <w:sz w:val="20"/>
          <w:szCs w:val="20"/>
        </w:rPr>
        <w:t>n advantage</w:t>
      </w:r>
      <w:r w:rsidR="00AF20C3">
        <w:rPr>
          <w:rFonts w:ascii="Times New Roman" w:hAnsi="Times New Roman" w:cs="Times New Roman"/>
          <w:sz w:val="20"/>
          <w:szCs w:val="20"/>
        </w:rPr>
        <w:t xml:space="preserve"> over a direct substitution method.</w:t>
      </w:r>
    </w:p>
    <w:p w:rsidR="001A7859" w:rsidRDefault="001A7859" w:rsidP="001A7859">
      <w:pPr>
        <w:spacing w:after="0" w:line="240" w:lineRule="auto"/>
        <w:rPr>
          <w:rFonts w:ascii="Times New Roman" w:hAnsi="Times New Roman" w:cs="Times New Roman"/>
          <w:sz w:val="20"/>
          <w:szCs w:val="20"/>
        </w:rPr>
      </w:pPr>
    </w:p>
    <w:p w:rsidR="00790F70" w:rsidRDefault="00790F70" w:rsidP="00790F70">
      <w:pPr>
        <w:spacing w:after="0" w:line="240" w:lineRule="auto"/>
        <w:rPr>
          <w:rFonts w:ascii="Times New Roman" w:hAnsi="Times New Roman" w:cs="Times New Roman"/>
          <w:b/>
          <w:sz w:val="20"/>
          <w:szCs w:val="20"/>
        </w:rPr>
      </w:pPr>
      <w:r w:rsidRPr="00790F70">
        <w:rPr>
          <w:rFonts w:ascii="Times New Roman" w:hAnsi="Times New Roman" w:cs="Times New Roman"/>
          <w:b/>
          <w:sz w:val="20"/>
          <w:szCs w:val="20"/>
        </w:rPr>
        <w:t>Table 2.3-1</w:t>
      </w:r>
    </w:p>
    <w:p w:rsidR="00790F70" w:rsidRDefault="00790F70" w:rsidP="00790F70">
      <w:pPr>
        <w:spacing w:after="0" w:line="240" w:lineRule="auto"/>
        <w:rPr>
          <w:rFonts w:ascii="Times New Roman" w:hAnsi="Times New Roman" w:cs="Times New Roman"/>
          <w:b/>
          <w:sz w:val="20"/>
          <w:szCs w:val="20"/>
        </w:rPr>
      </w:pPr>
      <w:r>
        <w:rPr>
          <w:rFonts w:ascii="Times New Roman" w:hAnsi="Times New Roman" w:cs="Times New Roman"/>
          <w:b/>
          <w:sz w:val="20"/>
          <w:szCs w:val="20"/>
        </w:rPr>
        <w:t>Other measures of imputation accuracy</w:t>
      </w:r>
    </w:p>
    <w:p w:rsidR="00790F70" w:rsidRPr="00790F70" w:rsidRDefault="00790F70" w:rsidP="00790F70">
      <w:pPr>
        <w:spacing w:after="0" w:line="240" w:lineRule="auto"/>
        <w:rPr>
          <w:rFonts w:ascii="Times New Roman" w:hAnsi="Times New Roman" w:cs="Times New Roman"/>
          <w:b/>
          <w:sz w:val="20"/>
          <w:szCs w:val="20"/>
        </w:rPr>
      </w:pPr>
    </w:p>
    <w:tbl>
      <w:tblPr>
        <w:tblW w:w="9356" w:type="dxa"/>
        <w:tblInd w:w="108" w:type="dxa"/>
        <w:tblLook w:val="04A0"/>
      </w:tblPr>
      <w:tblGrid>
        <w:gridCol w:w="2410"/>
        <w:gridCol w:w="1276"/>
        <w:gridCol w:w="1417"/>
        <w:gridCol w:w="1276"/>
        <w:gridCol w:w="1559"/>
        <w:gridCol w:w="1418"/>
      </w:tblGrid>
      <w:tr w:rsidR="002E6F6F" w:rsidRPr="000845CC" w:rsidTr="00F83361">
        <w:trPr>
          <w:trHeight w:val="330"/>
        </w:trPr>
        <w:tc>
          <w:tcPr>
            <w:tcW w:w="2410" w:type="dxa"/>
            <w:tcBorders>
              <w:top w:val="single" w:sz="4" w:space="0" w:color="auto"/>
              <w:left w:val="nil"/>
              <w:bottom w:val="single" w:sz="4" w:space="0" w:color="auto"/>
              <w:right w:val="nil"/>
            </w:tcBorders>
            <w:shd w:val="clear" w:color="auto" w:fill="auto"/>
            <w:noWrap/>
            <w:hideMark/>
          </w:tcPr>
          <w:p w:rsidR="002E6F6F" w:rsidRPr="002E6F6F" w:rsidRDefault="002E6F6F" w:rsidP="005F0775">
            <w:pPr>
              <w:spacing w:after="0" w:line="240" w:lineRule="auto"/>
              <w:rPr>
                <w:rFonts w:ascii="Times New Roman" w:eastAsia="Times New Roman" w:hAnsi="Times New Roman" w:cs="Times New Roman"/>
                <w:color w:val="000000"/>
                <w:sz w:val="20"/>
                <w:szCs w:val="20"/>
                <w:lang w:eastAsia="en-GB"/>
              </w:rPr>
            </w:pPr>
            <w:r w:rsidRPr="002E6F6F">
              <w:rPr>
                <w:rFonts w:ascii="Times New Roman" w:eastAsia="Times New Roman" w:hAnsi="Times New Roman" w:cs="Times New Roman"/>
                <w:color w:val="000000"/>
                <w:sz w:val="20"/>
                <w:szCs w:val="20"/>
                <w:lang w:eastAsia="en-GB"/>
              </w:rPr>
              <w:t> </w:t>
            </w:r>
          </w:p>
        </w:tc>
        <w:tc>
          <w:tcPr>
            <w:tcW w:w="1276" w:type="dxa"/>
            <w:tcBorders>
              <w:top w:val="single" w:sz="4" w:space="0" w:color="auto"/>
              <w:left w:val="nil"/>
              <w:bottom w:val="single" w:sz="4" w:space="0" w:color="auto"/>
              <w:right w:val="nil"/>
            </w:tcBorders>
            <w:shd w:val="clear" w:color="auto" w:fill="auto"/>
            <w:hideMark/>
          </w:tcPr>
          <w:p w:rsidR="002E6F6F" w:rsidRPr="002E6F6F" w:rsidRDefault="002E6F6F" w:rsidP="005F0775">
            <w:pPr>
              <w:spacing w:after="0" w:line="240" w:lineRule="auto"/>
              <w:jc w:val="right"/>
              <w:rPr>
                <w:rFonts w:ascii="Times New Roman" w:eastAsia="Times New Roman" w:hAnsi="Times New Roman" w:cs="Times New Roman"/>
                <w:b/>
                <w:bCs/>
                <w:color w:val="000000"/>
                <w:sz w:val="20"/>
                <w:szCs w:val="20"/>
                <w:lang w:eastAsia="en-GB"/>
              </w:rPr>
            </w:pPr>
            <w:r w:rsidRPr="002E6F6F">
              <w:rPr>
                <w:rFonts w:ascii="Times New Roman" w:eastAsia="Times New Roman" w:hAnsi="Times New Roman" w:cs="Times New Roman"/>
                <w:b/>
                <w:bCs/>
                <w:color w:val="000000"/>
                <w:sz w:val="20"/>
                <w:szCs w:val="20"/>
                <w:lang w:eastAsia="en-GB"/>
              </w:rPr>
              <w:t>Exact</w:t>
            </w:r>
            <w:r w:rsidR="00F83361">
              <w:rPr>
                <w:rFonts w:ascii="Times New Roman" w:eastAsia="Times New Roman" w:hAnsi="Times New Roman" w:cs="Times New Roman"/>
                <w:b/>
                <w:bCs/>
                <w:color w:val="000000"/>
                <w:sz w:val="20"/>
                <w:szCs w:val="20"/>
                <w:lang w:eastAsia="en-GB"/>
              </w:rPr>
              <w:t xml:space="preserve"> admin data</w:t>
            </w:r>
          </w:p>
        </w:tc>
        <w:tc>
          <w:tcPr>
            <w:tcW w:w="1417" w:type="dxa"/>
            <w:tcBorders>
              <w:top w:val="single" w:sz="4" w:space="0" w:color="auto"/>
              <w:left w:val="nil"/>
              <w:bottom w:val="single" w:sz="4" w:space="0" w:color="auto"/>
              <w:right w:val="nil"/>
            </w:tcBorders>
            <w:shd w:val="clear" w:color="auto" w:fill="auto"/>
            <w:hideMark/>
          </w:tcPr>
          <w:p w:rsidR="002E6F6F" w:rsidRPr="002E6F6F" w:rsidRDefault="002E6F6F" w:rsidP="005F0775">
            <w:pPr>
              <w:spacing w:after="0" w:line="240" w:lineRule="auto"/>
              <w:jc w:val="right"/>
              <w:rPr>
                <w:rFonts w:ascii="Times New Roman" w:eastAsia="Times New Roman" w:hAnsi="Times New Roman" w:cs="Times New Roman"/>
                <w:b/>
                <w:bCs/>
                <w:color w:val="000000"/>
                <w:sz w:val="20"/>
                <w:szCs w:val="20"/>
                <w:lang w:eastAsia="en-GB"/>
              </w:rPr>
            </w:pPr>
            <w:r w:rsidRPr="000900F6">
              <w:rPr>
                <w:rFonts w:ascii="Times New Roman" w:hAnsi="Times New Roman" w:cs="Times New Roman"/>
                <w:b/>
                <w:bCs/>
                <w:color w:val="000000"/>
                <w:sz w:val="20"/>
                <w:szCs w:val="20"/>
              </w:rPr>
              <w:t xml:space="preserve">Admin </w:t>
            </w:r>
            <w:r>
              <w:rPr>
                <w:rFonts w:ascii="Times New Roman" w:hAnsi="Times New Roman" w:cs="Times New Roman"/>
                <w:b/>
                <w:bCs/>
                <w:color w:val="000000"/>
                <w:sz w:val="20"/>
                <w:szCs w:val="20"/>
              </w:rPr>
              <w:t>+/-</w:t>
            </w:r>
            <w:r w:rsidRPr="000900F6">
              <w:rPr>
                <w:rFonts w:ascii="Times New Roman" w:hAnsi="Times New Roman" w:cs="Times New Roman"/>
                <w:b/>
                <w:bCs/>
                <w:color w:val="000000"/>
                <w:sz w:val="20"/>
                <w:szCs w:val="20"/>
              </w:rPr>
              <w:t>3</w:t>
            </w:r>
          </w:p>
        </w:tc>
        <w:tc>
          <w:tcPr>
            <w:tcW w:w="1276" w:type="dxa"/>
            <w:tcBorders>
              <w:top w:val="single" w:sz="4" w:space="0" w:color="auto"/>
              <w:left w:val="nil"/>
              <w:bottom w:val="single" w:sz="4" w:space="0" w:color="auto"/>
              <w:right w:val="nil"/>
            </w:tcBorders>
            <w:shd w:val="clear" w:color="auto" w:fill="auto"/>
            <w:hideMark/>
          </w:tcPr>
          <w:p w:rsidR="002E6F6F" w:rsidRPr="002E6F6F" w:rsidRDefault="002E6F6F" w:rsidP="005F0775">
            <w:pPr>
              <w:spacing w:after="0" w:line="240" w:lineRule="auto"/>
              <w:jc w:val="right"/>
              <w:rPr>
                <w:rFonts w:ascii="Times New Roman" w:eastAsia="Times New Roman" w:hAnsi="Times New Roman" w:cs="Times New Roman"/>
                <w:b/>
                <w:bCs/>
                <w:color w:val="000000"/>
                <w:sz w:val="20"/>
                <w:szCs w:val="20"/>
                <w:lang w:eastAsia="en-GB"/>
              </w:rPr>
            </w:pPr>
            <w:r w:rsidRPr="000900F6">
              <w:rPr>
                <w:rFonts w:ascii="Times New Roman" w:hAnsi="Times New Roman" w:cs="Times New Roman"/>
                <w:b/>
                <w:bCs/>
                <w:color w:val="000000"/>
                <w:sz w:val="20"/>
                <w:szCs w:val="20"/>
              </w:rPr>
              <w:t xml:space="preserve">Admin </w:t>
            </w:r>
            <w:r>
              <w:rPr>
                <w:rFonts w:ascii="Times New Roman" w:hAnsi="Times New Roman" w:cs="Times New Roman"/>
                <w:b/>
                <w:bCs/>
                <w:color w:val="000000"/>
                <w:sz w:val="20"/>
                <w:szCs w:val="20"/>
              </w:rPr>
              <w:t>+/-</w:t>
            </w:r>
            <w:r w:rsidRPr="000900F6">
              <w:rPr>
                <w:rFonts w:ascii="Times New Roman" w:hAnsi="Times New Roman" w:cs="Times New Roman"/>
                <w:b/>
                <w:bCs/>
                <w:color w:val="000000"/>
                <w:sz w:val="20"/>
                <w:szCs w:val="20"/>
              </w:rPr>
              <w:t>6</w:t>
            </w:r>
          </w:p>
        </w:tc>
        <w:tc>
          <w:tcPr>
            <w:tcW w:w="1559" w:type="dxa"/>
            <w:tcBorders>
              <w:top w:val="single" w:sz="4" w:space="0" w:color="auto"/>
              <w:left w:val="nil"/>
              <w:bottom w:val="single" w:sz="4" w:space="0" w:color="auto"/>
              <w:right w:val="nil"/>
            </w:tcBorders>
            <w:shd w:val="clear" w:color="auto" w:fill="auto"/>
            <w:hideMark/>
          </w:tcPr>
          <w:p w:rsidR="002E6F6F" w:rsidRPr="002E6F6F" w:rsidRDefault="002E6F6F" w:rsidP="005F0775">
            <w:pPr>
              <w:spacing w:after="0" w:line="240" w:lineRule="auto"/>
              <w:jc w:val="right"/>
              <w:rPr>
                <w:rFonts w:ascii="Times New Roman" w:eastAsia="Times New Roman" w:hAnsi="Times New Roman" w:cs="Times New Roman"/>
                <w:b/>
                <w:bCs/>
                <w:color w:val="000000"/>
                <w:sz w:val="20"/>
                <w:szCs w:val="20"/>
                <w:lang w:eastAsia="en-GB"/>
              </w:rPr>
            </w:pPr>
            <w:r w:rsidRPr="000900F6">
              <w:rPr>
                <w:rFonts w:ascii="Times New Roman" w:hAnsi="Times New Roman" w:cs="Times New Roman"/>
                <w:b/>
                <w:bCs/>
                <w:color w:val="000000"/>
                <w:sz w:val="20"/>
                <w:szCs w:val="20"/>
              </w:rPr>
              <w:t xml:space="preserve">Admin </w:t>
            </w:r>
            <w:r>
              <w:rPr>
                <w:rFonts w:ascii="Times New Roman" w:hAnsi="Times New Roman" w:cs="Times New Roman"/>
                <w:b/>
                <w:bCs/>
                <w:color w:val="000000"/>
                <w:sz w:val="20"/>
                <w:szCs w:val="20"/>
              </w:rPr>
              <w:t>+/-</w:t>
            </w:r>
            <w:r w:rsidRPr="000900F6">
              <w:rPr>
                <w:rFonts w:ascii="Times New Roman" w:hAnsi="Times New Roman" w:cs="Times New Roman"/>
                <w:b/>
                <w:bCs/>
                <w:color w:val="000000"/>
                <w:sz w:val="20"/>
                <w:szCs w:val="20"/>
              </w:rPr>
              <w:t>12</w:t>
            </w:r>
          </w:p>
        </w:tc>
        <w:tc>
          <w:tcPr>
            <w:tcW w:w="1418" w:type="dxa"/>
            <w:tcBorders>
              <w:top w:val="single" w:sz="4" w:space="0" w:color="auto"/>
              <w:left w:val="nil"/>
              <w:bottom w:val="single" w:sz="4" w:space="0" w:color="auto"/>
              <w:right w:val="nil"/>
            </w:tcBorders>
            <w:shd w:val="clear" w:color="auto" w:fill="auto"/>
            <w:hideMark/>
          </w:tcPr>
          <w:p w:rsidR="002E6F6F" w:rsidRPr="002E6F6F" w:rsidRDefault="002E6F6F" w:rsidP="005F0775">
            <w:pPr>
              <w:spacing w:after="0" w:line="240" w:lineRule="auto"/>
              <w:jc w:val="right"/>
              <w:rPr>
                <w:rFonts w:ascii="Times New Roman" w:eastAsia="Times New Roman" w:hAnsi="Times New Roman" w:cs="Times New Roman"/>
                <w:b/>
                <w:bCs/>
                <w:color w:val="000000"/>
                <w:sz w:val="20"/>
                <w:szCs w:val="20"/>
                <w:lang w:eastAsia="en-GB"/>
              </w:rPr>
            </w:pPr>
            <w:r w:rsidRPr="002E6F6F">
              <w:rPr>
                <w:rFonts w:ascii="Times New Roman" w:eastAsia="Times New Roman" w:hAnsi="Times New Roman" w:cs="Times New Roman"/>
                <w:b/>
                <w:bCs/>
                <w:color w:val="000000"/>
                <w:sz w:val="20"/>
                <w:szCs w:val="20"/>
                <w:lang w:eastAsia="en-GB"/>
              </w:rPr>
              <w:t>No admin</w:t>
            </w:r>
            <w:r w:rsidR="00410716">
              <w:rPr>
                <w:rFonts w:ascii="Times New Roman" w:eastAsia="Times New Roman" w:hAnsi="Times New Roman" w:cs="Times New Roman"/>
                <w:b/>
                <w:bCs/>
                <w:color w:val="000000"/>
                <w:sz w:val="20"/>
                <w:szCs w:val="20"/>
                <w:lang w:eastAsia="en-GB"/>
              </w:rPr>
              <w:t xml:space="preserve"> data</w:t>
            </w:r>
            <w:r w:rsidRPr="002E6F6F">
              <w:rPr>
                <w:rFonts w:ascii="Times New Roman" w:eastAsia="Times New Roman" w:hAnsi="Times New Roman" w:cs="Times New Roman"/>
                <w:b/>
                <w:bCs/>
                <w:color w:val="000000"/>
                <w:sz w:val="20"/>
                <w:szCs w:val="20"/>
                <w:lang w:eastAsia="en-GB"/>
              </w:rPr>
              <w:t xml:space="preserve"> </w:t>
            </w:r>
          </w:p>
        </w:tc>
      </w:tr>
      <w:tr w:rsidR="002E6F6F" w:rsidRPr="000845CC" w:rsidTr="00F83361">
        <w:trPr>
          <w:trHeight w:val="649"/>
        </w:trPr>
        <w:tc>
          <w:tcPr>
            <w:tcW w:w="2410" w:type="dxa"/>
            <w:tcBorders>
              <w:top w:val="nil"/>
              <w:left w:val="nil"/>
              <w:bottom w:val="nil"/>
              <w:right w:val="nil"/>
            </w:tcBorders>
            <w:shd w:val="clear" w:color="auto" w:fill="auto"/>
            <w:noWrap/>
            <w:hideMark/>
          </w:tcPr>
          <w:p w:rsidR="002E6F6F" w:rsidRPr="002E6F6F" w:rsidRDefault="002E6F6F" w:rsidP="007B0134">
            <w:pPr>
              <w:spacing w:line="240" w:lineRule="auto"/>
              <w:rPr>
                <w:rFonts w:ascii="Times New Roman" w:hAnsi="Times New Roman" w:cs="Times New Roman"/>
                <w:sz w:val="20"/>
                <w:szCs w:val="20"/>
              </w:rPr>
            </w:pPr>
            <w:r>
              <w:rPr>
                <w:rFonts w:ascii="Times New Roman" w:hAnsi="Times New Roman" w:cs="Times New Roman"/>
                <w:sz w:val="20"/>
                <w:szCs w:val="20"/>
              </w:rPr>
              <w:t>Total size of</w:t>
            </w:r>
            <w:r w:rsidRPr="002E6F6F">
              <w:rPr>
                <w:rFonts w:ascii="Times New Roman" w:hAnsi="Times New Roman" w:cs="Times New Roman"/>
                <w:sz w:val="20"/>
                <w:szCs w:val="20"/>
              </w:rPr>
              <w:t xml:space="preserve"> donor pool </w:t>
            </w:r>
          </w:p>
        </w:tc>
        <w:tc>
          <w:tcPr>
            <w:tcW w:w="1276" w:type="dxa"/>
            <w:tcBorders>
              <w:top w:val="nil"/>
              <w:left w:val="nil"/>
              <w:bottom w:val="nil"/>
              <w:right w:val="nil"/>
            </w:tcBorders>
            <w:shd w:val="clear" w:color="auto" w:fill="auto"/>
            <w:noWrap/>
            <w:hideMark/>
          </w:tcPr>
          <w:p w:rsidR="002E6F6F" w:rsidRPr="002E6F6F" w:rsidRDefault="002E6F6F" w:rsidP="007B0134">
            <w:pPr>
              <w:spacing w:line="240" w:lineRule="auto"/>
              <w:jc w:val="right"/>
              <w:rPr>
                <w:rFonts w:ascii="Times New Roman" w:eastAsia="Times New Roman" w:hAnsi="Times New Roman" w:cs="Times New Roman"/>
                <w:color w:val="000000"/>
                <w:sz w:val="20"/>
                <w:szCs w:val="20"/>
                <w:lang w:eastAsia="en-GB"/>
              </w:rPr>
            </w:pPr>
            <w:r w:rsidRPr="002E6F6F">
              <w:rPr>
                <w:rFonts w:ascii="Times New Roman" w:hAnsi="Times New Roman" w:cs="Times New Roman"/>
                <w:color w:val="000000"/>
                <w:sz w:val="20"/>
                <w:szCs w:val="20"/>
              </w:rPr>
              <w:t>56,077</w:t>
            </w:r>
          </w:p>
        </w:tc>
        <w:tc>
          <w:tcPr>
            <w:tcW w:w="1417" w:type="dxa"/>
            <w:tcBorders>
              <w:top w:val="nil"/>
              <w:left w:val="nil"/>
              <w:bottom w:val="nil"/>
              <w:right w:val="nil"/>
            </w:tcBorders>
            <w:shd w:val="clear" w:color="auto" w:fill="auto"/>
            <w:noWrap/>
            <w:hideMark/>
          </w:tcPr>
          <w:p w:rsidR="002E6F6F" w:rsidRPr="002E6F6F" w:rsidRDefault="002E6F6F" w:rsidP="007B0134">
            <w:pPr>
              <w:spacing w:line="240" w:lineRule="auto"/>
              <w:jc w:val="right"/>
              <w:rPr>
                <w:rFonts w:ascii="Times New Roman" w:eastAsia="Times New Roman" w:hAnsi="Times New Roman" w:cs="Times New Roman"/>
                <w:color w:val="000000"/>
                <w:sz w:val="20"/>
                <w:szCs w:val="20"/>
                <w:lang w:eastAsia="en-GB"/>
              </w:rPr>
            </w:pPr>
            <w:r w:rsidRPr="002E6F6F">
              <w:rPr>
                <w:rFonts w:ascii="Times New Roman" w:hAnsi="Times New Roman" w:cs="Times New Roman"/>
                <w:color w:val="000000"/>
                <w:sz w:val="20"/>
                <w:szCs w:val="20"/>
              </w:rPr>
              <w:t>57,529</w:t>
            </w:r>
          </w:p>
        </w:tc>
        <w:tc>
          <w:tcPr>
            <w:tcW w:w="1276" w:type="dxa"/>
            <w:tcBorders>
              <w:top w:val="nil"/>
              <w:left w:val="nil"/>
              <w:bottom w:val="nil"/>
              <w:right w:val="nil"/>
            </w:tcBorders>
            <w:shd w:val="clear" w:color="auto" w:fill="auto"/>
            <w:noWrap/>
            <w:hideMark/>
          </w:tcPr>
          <w:p w:rsidR="002E6F6F" w:rsidRPr="002E6F6F" w:rsidRDefault="002E6F6F" w:rsidP="007B0134">
            <w:pPr>
              <w:spacing w:line="240" w:lineRule="auto"/>
              <w:jc w:val="right"/>
              <w:rPr>
                <w:rFonts w:ascii="Times New Roman" w:eastAsia="Times New Roman" w:hAnsi="Times New Roman" w:cs="Times New Roman"/>
                <w:color w:val="000000"/>
                <w:sz w:val="20"/>
                <w:szCs w:val="20"/>
                <w:lang w:eastAsia="en-GB"/>
              </w:rPr>
            </w:pPr>
            <w:r w:rsidRPr="002E6F6F">
              <w:rPr>
                <w:rFonts w:ascii="Times New Roman" w:hAnsi="Times New Roman" w:cs="Times New Roman"/>
                <w:color w:val="000000"/>
                <w:sz w:val="20"/>
                <w:szCs w:val="20"/>
              </w:rPr>
              <w:t>59,807</w:t>
            </w:r>
          </w:p>
        </w:tc>
        <w:tc>
          <w:tcPr>
            <w:tcW w:w="1559" w:type="dxa"/>
            <w:tcBorders>
              <w:top w:val="nil"/>
              <w:left w:val="nil"/>
              <w:bottom w:val="nil"/>
              <w:right w:val="nil"/>
            </w:tcBorders>
            <w:shd w:val="clear" w:color="auto" w:fill="auto"/>
            <w:noWrap/>
            <w:hideMark/>
          </w:tcPr>
          <w:p w:rsidR="002E6F6F" w:rsidRPr="002E6F6F" w:rsidRDefault="002E6F6F" w:rsidP="007B0134">
            <w:pPr>
              <w:spacing w:line="240" w:lineRule="auto"/>
              <w:jc w:val="right"/>
              <w:rPr>
                <w:rFonts w:ascii="Times New Roman" w:eastAsia="Times New Roman" w:hAnsi="Times New Roman" w:cs="Times New Roman"/>
                <w:color w:val="000000"/>
                <w:sz w:val="20"/>
                <w:szCs w:val="20"/>
                <w:lang w:eastAsia="en-GB"/>
              </w:rPr>
            </w:pPr>
            <w:r w:rsidRPr="002E6F6F">
              <w:rPr>
                <w:rFonts w:ascii="Times New Roman" w:hAnsi="Times New Roman" w:cs="Times New Roman"/>
                <w:color w:val="000000"/>
                <w:sz w:val="20"/>
                <w:szCs w:val="20"/>
              </w:rPr>
              <w:t>70,068</w:t>
            </w:r>
          </w:p>
        </w:tc>
        <w:tc>
          <w:tcPr>
            <w:tcW w:w="1418" w:type="dxa"/>
            <w:tcBorders>
              <w:top w:val="nil"/>
              <w:left w:val="nil"/>
              <w:bottom w:val="nil"/>
              <w:right w:val="nil"/>
            </w:tcBorders>
            <w:shd w:val="clear" w:color="auto" w:fill="auto"/>
            <w:noWrap/>
            <w:hideMark/>
          </w:tcPr>
          <w:p w:rsidR="002E6F6F" w:rsidRPr="002E6F6F" w:rsidRDefault="002E6F6F" w:rsidP="007B0134">
            <w:pPr>
              <w:spacing w:line="240" w:lineRule="auto"/>
              <w:jc w:val="right"/>
              <w:rPr>
                <w:rFonts w:ascii="Times New Roman" w:eastAsia="Times New Roman" w:hAnsi="Times New Roman" w:cs="Times New Roman"/>
                <w:color w:val="000000"/>
                <w:sz w:val="20"/>
                <w:szCs w:val="20"/>
                <w:lang w:eastAsia="en-GB"/>
              </w:rPr>
            </w:pPr>
            <w:r w:rsidRPr="002E6F6F">
              <w:rPr>
                <w:rFonts w:ascii="Times New Roman" w:hAnsi="Times New Roman" w:cs="Times New Roman"/>
                <w:color w:val="000000"/>
                <w:sz w:val="20"/>
                <w:szCs w:val="20"/>
              </w:rPr>
              <w:t>258,116</w:t>
            </w:r>
          </w:p>
        </w:tc>
      </w:tr>
      <w:tr w:rsidR="002E6F6F" w:rsidRPr="000845CC" w:rsidTr="00F83361">
        <w:trPr>
          <w:trHeight w:val="300"/>
        </w:trPr>
        <w:tc>
          <w:tcPr>
            <w:tcW w:w="2410" w:type="dxa"/>
            <w:tcBorders>
              <w:top w:val="nil"/>
              <w:left w:val="nil"/>
              <w:bottom w:val="nil"/>
              <w:right w:val="nil"/>
            </w:tcBorders>
            <w:shd w:val="clear" w:color="auto" w:fill="auto"/>
            <w:noWrap/>
            <w:hideMark/>
          </w:tcPr>
          <w:p w:rsidR="002E6F6F" w:rsidRPr="002E6F6F" w:rsidRDefault="002E6F6F" w:rsidP="002E6F6F">
            <w:pPr>
              <w:spacing w:line="240" w:lineRule="auto"/>
              <w:rPr>
                <w:rFonts w:ascii="Times New Roman" w:hAnsi="Times New Roman" w:cs="Times New Roman"/>
                <w:sz w:val="20"/>
                <w:szCs w:val="20"/>
              </w:rPr>
            </w:pPr>
            <w:r w:rsidRPr="002E6F6F">
              <w:rPr>
                <w:rFonts w:ascii="Times New Roman" w:hAnsi="Times New Roman" w:cs="Times New Roman"/>
                <w:sz w:val="20"/>
                <w:szCs w:val="20"/>
              </w:rPr>
              <w:t xml:space="preserve">Average age range of potential donors (years) </w:t>
            </w:r>
          </w:p>
        </w:tc>
        <w:tc>
          <w:tcPr>
            <w:tcW w:w="1276" w:type="dxa"/>
            <w:tcBorders>
              <w:top w:val="nil"/>
              <w:left w:val="nil"/>
              <w:bottom w:val="nil"/>
              <w:right w:val="nil"/>
            </w:tcBorders>
            <w:shd w:val="clear" w:color="auto" w:fill="auto"/>
            <w:noWrap/>
            <w:hideMark/>
          </w:tcPr>
          <w:p w:rsidR="002E6F6F" w:rsidRPr="002E6F6F" w:rsidRDefault="002E6F6F" w:rsidP="002E6F6F">
            <w:pPr>
              <w:spacing w:line="240" w:lineRule="auto"/>
              <w:jc w:val="right"/>
              <w:rPr>
                <w:rFonts w:ascii="Times New Roman" w:hAnsi="Times New Roman" w:cs="Times New Roman"/>
                <w:color w:val="000000"/>
                <w:sz w:val="20"/>
                <w:szCs w:val="20"/>
              </w:rPr>
            </w:pPr>
            <w:r w:rsidRPr="002E6F6F">
              <w:rPr>
                <w:rFonts w:ascii="Times New Roman" w:hAnsi="Times New Roman" w:cs="Times New Roman"/>
                <w:color w:val="000000"/>
                <w:sz w:val="20"/>
                <w:szCs w:val="20"/>
              </w:rPr>
              <w:t>1.0</w:t>
            </w:r>
          </w:p>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p>
        </w:tc>
        <w:tc>
          <w:tcPr>
            <w:tcW w:w="1417" w:type="dxa"/>
            <w:tcBorders>
              <w:top w:val="nil"/>
              <w:left w:val="nil"/>
              <w:bottom w:val="nil"/>
              <w:right w:val="nil"/>
            </w:tcBorders>
            <w:shd w:val="clear" w:color="auto" w:fill="auto"/>
            <w:noWrap/>
            <w:hideMark/>
          </w:tcPr>
          <w:p w:rsidR="002E6F6F" w:rsidRPr="002E6F6F" w:rsidRDefault="002E6F6F" w:rsidP="002E6F6F">
            <w:pPr>
              <w:spacing w:line="240" w:lineRule="auto"/>
              <w:jc w:val="right"/>
              <w:rPr>
                <w:rFonts w:ascii="Times New Roman" w:hAnsi="Times New Roman" w:cs="Times New Roman"/>
                <w:color w:val="000000"/>
                <w:sz w:val="20"/>
                <w:szCs w:val="20"/>
              </w:rPr>
            </w:pPr>
            <w:r w:rsidRPr="002E6F6F">
              <w:rPr>
                <w:rFonts w:ascii="Times New Roman" w:hAnsi="Times New Roman" w:cs="Times New Roman"/>
                <w:color w:val="000000"/>
                <w:sz w:val="20"/>
                <w:szCs w:val="20"/>
              </w:rPr>
              <w:t>1.1</w:t>
            </w:r>
          </w:p>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p>
        </w:tc>
        <w:tc>
          <w:tcPr>
            <w:tcW w:w="1276" w:type="dxa"/>
            <w:tcBorders>
              <w:top w:val="nil"/>
              <w:left w:val="nil"/>
              <w:bottom w:val="nil"/>
              <w:right w:val="nil"/>
            </w:tcBorders>
            <w:shd w:val="clear" w:color="auto" w:fill="auto"/>
            <w:noWrap/>
            <w:hideMark/>
          </w:tcPr>
          <w:p w:rsidR="002E6F6F" w:rsidRPr="002E6F6F" w:rsidRDefault="002E6F6F" w:rsidP="002E6F6F">
            <w:pPr>
              <w:spacing w:line="240" w:lineRule="auto"/>
              <w:jc w:val="right"/>
              <w:rPr>
                <w:rFonts w:ascii="Times New Roman" w:hAnsi="Times New Roman" w:cs="Times New Roman"/>
                <w:color w:val="000000"/>
                <w:sz w:val="20"/>
                <w:szCs w:val="20"/>
              </w:rPr>
            </w:pPr>
            <w:r w:rsidRPr="002E6F6F">
              <w:rPr>
                <w:rFonts w:ascii="Times New Roman" w:hAnsi="Times New Roman" w:cs="Times New Roman"/>
                <w:color w:val="000000"/>
                <w:sz w:val="20"/>
                <w:szCs w:val="20"/>
              </w:rPr>
              <w:t>1.4</w:t>
            </w:r>
          </w:p>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p>
        </w:tc>
        <w:tc>
          <w:tcPr>
            <w:tcW w:w="1559" w:type="dxa"/>
            <w:tcBorders>
              <w:top w:val="nil"/>
              <w:left w:val="nil"/>
              <w:bottom w:val="nil"/>
              <w:right w:val="nil"/>
            </w:tcBorders>
            <w:shd w:val="clear" w:color="auto" w:fill="auto"/>
            <w:noWrap/>
            <w:hideMark/>
          </w:tcPr>
          <w:p w:rsidR="002E6F6F" w:rsidRPr="002E6F6F" w:rsidRDefault="002E6F6F" w:rsidP="002E6F6F">
            <w:pPr>
              <w:spacing w:line="240" w:lineRule="auto"/>
              <w:jc w:val="right"/>
              <w:rPr>
                <w:rFonts w:ascii="Times New Roman" w:hAnsi="Times New Roman" w:cs="Times New Roman"/>
                <w:color w:val="000000"/>
                <w:sz w:val="20"/>
                <w:szCs w:val="20"/>
              </w:rPr>
            </w:pPr>
            <w:r w:rsidRPr="002E6F6F">
              <w:rPr>
                <w:rFonts w:ascii="Times New Roman" w:hAnsi="Times New Roman" w:cs="Times New Roman"/>
                <w:color w:val="000000"/>
                <w:sz w:val="20"/>
                <w:szCs w:val="20"/>
              </w:rPr>
              <w:t>2.5</w:t>
            </w:r>
          </w:p>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p>
        </w:tc>
        <w:tc>
          <w:tcPr>
            <w:tcW w:w="1418" w:type="dxa"/>
            <w:tcBorders>
              <w:top w:val="nil"/>
              <w:left w:val="nil"/>
              <w:bottom w:val="nil"/>
              <w:right w:val="nil"/>
            </w:tcBorders>
            <w:shd w:val="clear" w:color="auto" w:fill="auto"/>
            <w:noWrap/>
            <w:hideMark/>
          </w:tcPr>
          <w:p w:rsidR="002E6F6F" w:rsidRPr="002E6F6F" w:rsidRDefault="002E6F6F" w:rsidP="002E6F6F">
            <w:pPr>
              <w:spacing w:line="240" w:lineRule="auto"/>
              <w:jc w:val="right"/>
              <w:rPr>
                <w:rFonts w:ascii="Times New Roman" w:hAnsi="Times New Roman" w:cs="Times New Roman"/>
                <w:color w:val="000000"/>
                <w:sz w:val="20"/>
                <w:szCs w:val="20"/>
              </w:rPr>
            </w:pPr>
            <w:r w:rsidRPr="002E6F6F">
              <w:rPr>
                <w:rFonts w:ascii="Times New Roman" w:hAnsi="Times New Roman" w:cs="Times New Roman"/>
                <w:color w:val="000000"/>
                <w:sz w:val="20"/>
                <w:szCs w:val="20"/>
              </w:rPr>
              <w:t>14.3</w:t>
            </w:r>
          </w:p>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p>
        </w:tc>
      </w:tr>
      <w:tr w:rsidR="002E6F6F" w:rsidRPr="000845CC" w:rsidTr="00F83361">
        <w:trPr>
          <w:trHeight w:val="680"/>
        </w:trPr>
        <w:tc>
          <w:tcPr>
            <w:tcW w:w="2410" w:type="dxa"/>
            <w:tcBorders>
              <w:top w:val="nil"/>
              <w:left w:val="nil"/>
              <w:right w:val="nil"/>
            </w:tcBorders>
            <w:shd w:val="clear" w:color="auto" w:fill="auto"/>
            <w:hideMark/>
          </w:tcPr>
          <w:p w:rsidR="002E6F6F" w:rsidRPr="002E6F6F" w:rsidRDefault="002E6F6F" w:rsidP="002E6F6F">
            <w:pPr>
              <w:spacing w:line="240" w:lineRule="auto"/>
              <w:rPr>
                <w:rFonts w:ascii="Times New Roman" w:hAnsi="Times New Roman" w:cs="Times New Roman"/>
                <w:sz w:val="20"/>
                <w:szCs w:val="20"/>
              </w:rPr>
            </w:pPr>
            <w:r w:rsidRPr="002E6F6F">
              <w:rPr>
                <w:rFonts w:ascii="Times New Roman" w:hAnsi="Times New Roman" w:cs="Times New Roman"/>
                <w:sz w:val="20"/>
                <w:szCs w:val="20"/>
              </w:rPr>
              <w:t xml:space="preserve">Percentage of records where true age is within range of imputation actions </w:t>
            </w:r>
          </w:p>
        </w:tc>
        <w:tc>
          <w:tcPr>
            <w:tcW w:w="1276" w:type="dxa"/>
            <w:tcBorders>
              <w:top w:val="nil"/>
              <w:left w:val="nil"/>
              <w:right w:val="nil"/>
            </w:tcBorders>
            <w:shd w:val="clear" w:color="auto" w:fill="auto"/>
            <w:noWrap/>
            <w:hideMark/>
          </w:tcPr>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r w:rsidRPr="002E6F6F">
              <w:rPr>
                <w:rFonts w:ascii="Times New Roman" w:eastAsia="Times New Roman" w:hAnsi="Times New Roman" w:cs="Times New Roman"/>
                <w:color w:val="000000"/>
                <w:sz w:val="20"/>
                <w:szCs w:val="20"/>
                <w:lang w:eastAsia="en-GB"/>
              </w:rPr>
              <w:t>53.1</w:t>
            </w:r>
          </w:p>
        </w:tc>
        <w:tc>
          <w:tcPr>
            <w:tcW w:w="1417" w:type="dxa"/>
            <w:tcBorders>
              <w:top w:val="nil"/>
              <w:left w:val="nil"/>
              <w:right w:val="nil"/>
            </w:tcBorders>
            <w:shd w:val="clear" w:color="auto" w:fill="auto"/>
            <w:noWrap/>
            <w:hideMark/>
          </w:tcPr>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r w:rsidRPr="002E6F6F">
              <w:rPr>
                <w:rFonts w:ascii="Times New Roman" w:eastAsia="Times New Roman" w:hAnsi="Times New Roman" w:cs="Times New Roman"/>
                <w:color w:val="000000"/>
                <w:sz w:val="20"/>
                <w:szCs w:val="20"/>
                <w:lang w:eastAsia="en-GB"/>
              </w:rPr>
              <w:t>20.9</w:t>
            </w:r>
          </w:p>
        </w:tc>
        <w:tc>
          <w:tcPr>
            <w:tcW w:w="1276" w:type="dxa"/>
            <w:tcBorders>
              <w:top w:val="nil"/>
              <w:left w:val="nil"/>
              <w:right w:val="nil"/>
            </w:tcBorders>
            <w:shd w:val="clear" w:color="auto" w:fill="auto"/>
            <w:noWrap/>
            <w:hideMark/>
          </w:tcPr>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r w:rsidRPr="002E6F6F">
              <w:rPr>
                <w:rFonts w:ascii="Times New Roman" w:eastAsia="Times New Roman" w:hAnsi="Times New Roman" w:cs="Times New Roman"/>
                <w:color w:val="000000"/>
                <w:sz w:val="20"/>
                <w:szCs w:val="20"/>
                <w:lang w:eastAsia="en-GB"/>
              </w:rPr>
              <w:t>12.9</w:t>
            </w:r>
          </w:p>
        </w:tc>
        <w:tc>
          <w:tcPr>
            <w:tcW w:w="1559" w:type="dxa"/>
            <w:tcBorders>
              <w:top w:val="nil"/>
              <w:left w:val="nil"/>
              <w:right w:val="nil"/>
            </w:tcBorders>
            <w:shd w:val="clear" w:color="auto" w:fill="auto"/>
            <w:noWrap/>
            <w:hideMark/>
          </w:tcPr>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r w:rsidRPr="002E6F6F">
              <w:rPr>
                <w:rFonts w:ascii="Times New Roman" w:eastAsia="Times New Roman" w:hAnsi="Times New Roman" w:cs="Times New Roman"/>
                <w:color w:val="000000"/>
                <w:sz w:val="20"/>
                <w:szCs w:val="20"/>
                <w:lang w:eastAsia="en-GB"/>
              </w:rPr>
              <w:t>20.5</w:t>
            </w:r>
          </w:p>
        </w:tc>
        <w:tc>
          <w:tcPr>
            <w:tcW w:w="1418" w:type="dxa"/>
            <w:tcBorders>
              <w:top w:val="nil"/>
              <w:left w:val="nil"/>
              <w:right w:val="nil"/>
            </w:tcBorders>
            <w:shd w:val="clear" w:color="auto" w:fill="auto"/>
            <w:noWrap/>
            <w:hideMark/>
          </w:tcPr>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r w:rsidRPr="002E6F6F">
              <w:rPr>
                <w:rFonts w:ascii="Times New Roman" w:eastAsia="Times New Roman" w:hAnsi="Times New Roman" w:cs="Times New Roman"/>
                <w:color w:val="000000"/>
                <w:sz w:val="20"/>
                <w:szCs w:val="20"/>
                <w:lang w:eastAsia="en-GB"/>
              </w:rPr>
              <w:t>58.3</w:t>
            </w:r>
          </w:p>
        </w:tc>
      </w:tr>
      <w:tr w:rsidR="002E6F6F" w:rsidRPr="000845CC" w:rsidTr="00F83361">
        <w:trPr>
          <w:trHeight w:val="300"/>
        </w:trPr>
        <w:tc>
          <w:tcPr>
            <w:tcW w:w="2410" w:type="dxa"/>
            <w:tcBorders>
              <w:top w:val="nil"/>
              <w:left w:val="nil"/>
              <w:bottom w:val="single" w:sz="4" w:space="0" w:color="auto"/>
              <w:right w:val="nil"/>
            </w:tcBorders>
            <w:shd w:val="clear" w:color="auto" w:fill="auto"/>
            <w:noWrap/>
            <w:hideMark/>
          </w:tcPr>
          <w:p w:rsidR="002E6F6F" w:rsidRPr="002E6F6F" w:rsidRDefault="002E6F6F" w:rsidP="002E6F6F">
            <w:pPr>
              <w:spacing w:line="240" w:lineRule="auto"/>
              <w:rPr>
                <w:rFonts w:ascii="Times New Roman" w:hAnsi="Times New Roman" w:cs="Times New Roman"/>
                <w:sz w:val="20"/>
                <w:szCs w:val="20"/>
              </w:rPr>
            </w:pPr>
            <w:r w:rsidRPr="002E6F6F">
              <w:rPr>
                <w:rFonts w:ascii="Times New Roman" w:hAnsi="Times New Roman" w:cs="Times New Roman"/>
                <w:sz w:val="20"/>
                <w:szCs w:val="20"/>
              </w:rPr>
              <w:t>Percentage of records failing edit checks if admin age directly substituted in</w:t>
            </w:r>
            <w:r w:rsidR="00BF71D4">
              <w:rPr>
                <w:rFonts w:ascii="Times New Roman" w:hAnsi="Times New Roman" w:cs="Times New Roman"/>
                <w:sz w:val="20"/>
                <w:szCs w:val="20"/>
              </w:rPr>
              <w:t>to census age</w:t>
            </w:r>
            <w:r w:rsidRPr="002E6F6F">
              <w:rPr>
                <w:rFonts w:ascii="Times New Roman" w:hAnsi="Times New Roman" w:cs="Times New Roman"/>
                <w:sz w:val="20"/>
                <w:szCs w:val="20"/>
              </w:rPr>
              <w:t xml:space="preserve"> </w:t>
            </w:r>
          </w:p>
        </w:tc>
        <w:tc>
          <w:tcPr>
            <w:tcW w:w="1276" w:type="dxa"/>
            <w:tcBorders>
              <w:top w:val="nil"/>
              <w:left w:val="nil"/>
              <w:bottom w:val="single" w:sz="4" w:space="0" w:color="auto"/>
              <w:right w:val="nil"/>
            </w:tcBorders>
            <w:shd w:val="clear" w:color="auto" w:fill="auto"/>
            <w:noWrap/>
            <w:hideMark/>
          </w:tcPr>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r w:rsidRPr="002E6F6F">
              <w:rPr>
                <w:rFonts w:ascii="Times New Roman" w:eastAsia="Times New Roman" w:hAnsi="Times New Roman" w:cs="Times New Roman"/>
                <w:color w:val="000000"/>
                <w:sz w:val="20"/>
                <w:szCs w:val="20"/>
                <w:lang w:eastAsia="en-GB"/>
              </w:rPr>
              <w:t>0</w:t>
            </w:r>
          </w:p>
        </w:tc>
        <w:tc>
          <w:tcPr>
            <w:tcW w:w="1417" w:type="dxa"/>
            <w:tcBorders>
              <w:top w:val="nil"/>
              <w:left w:val="nil"/>
              <w:bottom w:val="single" w:sz="4" w:space="0" w:color="auto"/>
              <w:right w:val="nil"/>
            </w:tcBorders>
            <w:shd w:val="clear" w:color="auto" w:fill="auto"/>
            <w:noWrap/>
            <w:hideMark/>
          </w:tcPr>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r w:rsidRPr="002E6F6F">
              <w:rPr>
                <w:rFonts w:ascii="Times New Roman" w:eastAsia="Times New Roman" w:hAnsi="Times New Roman" w:cs="Times New Roman"/>
                <w:color w:val="000000"/>
                <w:sz w:val="20"/>
                <w:szCs w:val="20"/>
                <w:lang w:eastAsia="en-GB"/>
              </w:rPr>
              <w:t>3.8</w:t>
            </w:r>
          </w:p>
        </w:tc>
        <w:tc>
          <w:tcPr>
            <w:tcW w:w="1276" w:type="dxa"/>
            <w:tcBorders>
              <w:top w:val="nil"/>
              <w:left w:val="nil"/>
              <w:bottom w:val="single" w:sz="4" w:space="0" w:color="auto"/>
              <w:right w:val="nil"/>
            </w:tcBorders>
            <w:shd w:val="clear" w:color="auto" w:fill="auto"/>
            <w:noWrap/>
            <w:hideMark/>
          </w:tcPr>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r w:rsidRPr="002E6F6F">
              <w:rPr>
                <w:rFonts w:ascii="Times New Roman" w:eastAsia="Times New Roman" w:hAnsi="Times New Roman" w:cs="Times New Roman"/>
                <w:color w:val="000000"/>
                <w:sz w:val="20"/>
                <w:szCs w:val="20"/>
                <w:lang w:eastAsia="en-GB"/>
              </w:rPr>
              <w:t>9.1</w:t>
            </w:r>
          </w:p>
        </w:tc>
        <w:tc>
          <w:tcPr>
            <w:tcW w:w="1559" w:type="dxa"/>
            <w:tcBorders>
              <w:top w:val="nil"/>
              <w:left w:val="nil"/>
              <w:bottom w:val="single" w:sz="4" w:space="0" w:color="auto"/>
              <w:right w:val="nil"/>
            </w:tcBorders>
            <w:shd w:val="clear" w:color="auto" w:fill="auto"/>
            <w:noWrap/>
            <w:hideMark/>
          </w:tcPr>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r w:rsidRPr="002E6F6F">
              <w:rPr>
                <w:rFonts w:ascii="Times New Roman" w:eastAsia="Times New Roman" w:hAnsi="Times New Roman" w:cs="Times New Roman"/>
                <w:color w:val="000000"/>
                <w:sz w:val="20"/>
                <w:szCs w:val="20"/>
                <w:lang w:eastAsia="en-GB"/>
              </w:rPr>
              <w:t>19.4</w:t>
            </w:r>
          </w:p>
        </w:tc>
        <w:tc>
          <w:tcPr>
            <w:tcW w:w="1418" w:type="dxa"/>
            <w:tcBorders>
              <w:top w:val="nil"/>
              <w:left w:val="nil"/>
              <w:bottom w:val="single" w:sz="4" w:space="0" w:color="auto"/>
              <w:right w:val="nil"/>
            </w:tcBorders>
            <w:shd w:val="clear" w:color="auto" w:fill="auto"/>
            <w:noWrap/>
            <w:hideMark/>
          </w:tcPr>
          <w:p w:rsidR="002E6F6F" w:rsidRPr="002E6F6F" w:rsidRDefault="002E6F6F" w:rsidP="002E6F6F">
            <w:pPr>
              <w:spacing w:after="0" w:line="240" w:lineRule="auto"/>
              <w:jc w:val="right"/>
              <w:rPr>
                <w:rFonts w:ascii="Times New Roman" w:eastAsia="Times New Roman" w:hAnsi="Times New Roman" w:cs="Times New Roman"/>
                <w:color w:val="000000"/>
                <w:sz w:val="20"/>
                <w:szCs w:val="20"/>
                <w:lang w:eastAsia="en-GB"/>
              </w:rPr>
            </w:pPr>
            <w:r w:rsidRPr="002E6F6F">
              <w:rPr>
                <w:rFonts w:ascii="Times New Roman" w:eastAsia="Times New Roman" w:hAnsi="Times New Roman" w:cs="Times New Roman"/>
                <w:color w:val="000000"/>
                <w:sz w:val="20"/>
                <w:szCs w:val="20"/>
                <w:lang w:eastAsia="en-GB"/>
              </w:rPr>
              <w:t>N/A</w:t>
            </w:r>
          </w:p>
        </w:tc>
      </w:tr>
    </w:tbl>
    <w:p w:rsidR="002E6F6F" w:rsidRPr="00C123A8" w:rsidRDefault="002E6F6F" w:rsidP="002E6F6F">
      <w:pPr>
        <w:spacing w:line="240" w:lineRule="auto"/>
        <w:rPr>
          <w:rFonts w:ascii="Times New Roman" w:hAnsi="Times New Roman" w:cs="Times New Roman"/>
          <w:sz w:val="20"/>
          <w:szCs w:val="20"/>
        </w:rPr>
      </w:pPr>
    </w:p>
    <w:p w:rsidR="00307EB9" w:rsidRDefault="00EC3B1B" w:rsidP="00307EB9">
      <w:pPr>
        <w:pStyle w:val="ListParagraph"/>
        <w:numPr>
          <w:ilvl w:val="1"/>
          <w:numId w:val="3"/>
        </w:num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Error distributions derived from a</w:t>
      </w:r>
      <w:r w:rsidR="00307EB9" w:rsidRPr="00307EB9">
        <w:rPr>
          <w:rFonts w:ascii="Times New Roman" w:hAnsi="Times New Roman" w:cs="Times New Roman"/>
          <w:b/>
          <w:color w:val="000000"/>
          <w:sz w:val="20"/>
          <w:szCs w:val="20"/>
        </w:rPr>
        <w:t>ctual admin</w:t>
      </w:r>
      <w:r w:rsidR="00504E68">
        <w:rPr>
          <w:rFonts w:ascii="Times New Roman" w:hAnsi="Times New Roman" w:cs="Times New Roman"/>
          <w:b/>
          <w:color w:val="000000"/>
          <w:sz w:val="20"/>
          <w:szCs w:val="20"/>
        </w:rPr>
        <w:t>istrative</w:t>
      </w:r>
      <w:r w:rsidR="00307EB9" w:rsidRPr="00307EB9">
        <w:rPr>
          <w:rFonts w:ascii="Times New Roman" w:hAnsi="Times New Roman" w:cs="Times New Roman"/>
          <w:b/>
          <w:color w:val="000000"/>
          <w:sz w:val="20"/>
          <w:szCs w:val="20"/>
        </w:rPr>
        <w:t xml:space="preserve"> datasets</w:t>
      </w:r>
    </w:p>
    <w:p w:rsidR="0046535A" w:rsidRPr="0046535A" w:rsidRDefault="0046535A" w:rsidP="0046535A">
      <w:pPr>
        <w:spacing w:after="0" w:line="240" w:lineRule="auto"/>
        <w:rPr>
          <w:rFonts w:ascii="Times New Roman" w:hAnsi="Times New Roman" w:cs="Times New Roman"/>
          <w:b/>
          <w:color w:val="000000"/>
          <w:sz w:val="20"/>
          <w:szCs w:val="20"/>
        </w:rPr>
      </w:pPr>
    </w:p>
    <w:p w:rsidR="004E62D9" w:rsidRDefault="00504E68" w:rsidP="00307EB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This</w:t>
      </w:r>
      <w:r w:rsidR="00307EB9">
        <w:rPr>
          <w:rFonts w:ascii="Times New Roman" w:hAnsi="Times New Roman" w:cs="Times New Roman"/>
          <w:color w:val="000000"/>
          <w:sz w:val="20"/>
          <w:szCs w:val="20"/>
        </w:rPr>
        <w:t xml:space="preserve"> initial phase of research also involved analysing the error distribution</w:t>
      </w:r>
      <w:r w:rsidR="00B329B0">
        <w:rPr>
          <w:rFonts w:ascii="Times New Roman" w:hAnsi="Times New Roman" w:cs="Times New Roman"/>
          <w:color w:val="000000"/>
          <w:sz w:val="20"/>
          <w:szCs w:val="20"/>
        </w:rPr>
        <w:t>s</w:t>
      </w:r>
      <w:r w:rsidR="00307EB9">
        <w:rPr>
          <w:rFonts w:ascii="Times New Roman" w:hAnsi="Times New Roman" w:cs="Times New Roman"/>
          <w:color w:val="000000"/>
          <w:sz w:val="20"/>
          <w:szCs w:val="20"/>
        </w:rPr>
        <w:t xml:space="preserve"> o</w:t>
      </w:r>
      <w:r w:rsidR="00B329B0">
        <w:rPr>
          <w:rFonts w:ascii="Times New Roman" w:hAnsi="Times New Roman" w:cs="Times New Roman"/>
          <w:color w:val="000000"/>
          <w:sz w:val="20"/>
          <w:szCs w:val="20"/>
        </w:rPr>
        <w:t>f two</w:t>
      </w:r>
      <w:r w:rsidR="004C0139">
        <w:rPr>
          <w:rFonts w:ascii="Times New Roman" w:hAnsi="Times New Roman" w:cs="Times New Roman"/>
          <w:color w:val="000000"/>
          <w:sz w:val="20"/>
          <w:szCs w:val="20"/>
        </w:rPr>
        <w:t xml:space="preserve"> 2011 extracts of</w:t>
      </w:r>
      <w:r w:rsidR="00B329B0">
        <w:rPr>
          <w:rFonts w:ascii="Times New Roman" w:hAnsi="Times New Roman" w:cs="Times New Roman"/>
          <w:color w:val="000000"/>
          <w:sz w:val="20"/>
          <w:szCs w:val="20"/>
        </w:rPr>
        <w:t xml:space="preserve"> actual </w:t>
      </w:r>
      <w:r w:rsidR="004A3C10">
        <w:rPr>
          <w:rFonts w:ascii="Times New Roman" w:hAnsi="Times New Roman" w:cs="Times New Roman"/>
          <w:color w:val="000000"/>
          <w:sz w:val="20"/>
          <w:szCs w:val="20"/>
        </w:rPr>
        <w:t xml:space="preserve">administrative </w:t>
      </w:r>
      <w:r w:rsidR="003E047B">
        <w:rPr>
          <w:rFonts w:ascii="Times New Roman" w:hAnsi="Times New Roman" w:cs="Times New Roman"/>
          <w:color w:val="000000"/>
          <w:sz w:val="20"/>
          <w:szCs w:val="20"/>
        </w:rPr>
        <w:t>datasets</w:t>
      </w:r>
      <w:r w:rsidR="004C0139">
        <w:rPr>
          <w:rFonts w:ascii="Times New Roman" w:hAnsi="Times New Roman" w:cs="Times New Roman"/>
          <w:color w:val="000000"/>
          <w:sz w:val="20"/>
          <w:szCs w:val="20"/>
        </w:rPr>
        <w:t>,</w:t>
      </w:r>
      <w:r w:rsidR="006666AB">
        <w:rPr>
          <w:rFonts w:ascii="Times New Roman" w:hAnsi="Times New Roman" w:cs="Times New Roman"/>
          <w:color w:val="000000"/>
          <w:sz w:val="20"/>
          <w:szCs w:val="20"/>
        </w:rPr>
        <w:t xml:space="preserve"> </w:t>
      </w:r>
      <w:r w:rsidR="003E047B">
        <w:rPr>
          <w:rFonts w:ascii="Times New Roman" w:hAnsi="Times New Roman" w:cs="Times New Roman"/>
          <w:color w:val="000000"/>
          <w:sz w:val="20"/>
          <w:szCs w:val="20"/>
        </w:rPr>
        <w:t>t</w:t>
      </w:r>
      <w:r w:rsidR="003C733E">
        <w:rPr>
          <w:rFonts w:ascii="Times New Roman" w:hAnsi="Times New Roman" w:cs="Times New Roman"/>
          <w:color w:val="000000"/>
          <w:sz w:val="20"/>
          <w:szCs w:val="20"/>
        </w:rPr>
        <w:t>he NHS Patient Register</w:t>
      </w:r>
      <w:r w:rsidR="003E047B">
        <w:rPr>
          <w:rFonts w:ascii="Times New Roman" w:hAnsi="Times New Roman" w:cs="Times New Roman"/>
          <w:color w:val="000000"/>
          <w:sz w:val="20"/>
          <w:szCs w:val="20"/>
        </w:rPr>
        <w:t xml:space="preserve"> (PR)</w:t>
      </w:r>
      <w:r w:rsidR="003C733E">
        <w:rPr>
          <w:rFonts w:ascii="Times New Roman" w:hAnsi="Times New Roman" w:cs="Times New Roman"/>
          <w:color w:val="000000"/>
          <w:sz w:val="20"/>
          <w:szCs w:val="20"/>
        </w:rPr>
        <w:t xml:space="preserve"> and the Department for Work and Pensions’ Customer Information System</w:t>
      </w:r>
      <w:r w:rsidR="003E047B">
        <w:rPr>
          <w:rFonts w:ascii="Times New Roman" w:hAnsi="Times New Roman" w:cs="Times New Roman"/>
          <w:color w:val="000000"/>
          <w:sz w:val="20"/>
          <w:szCs w:val="20"/>
        </w:rPr>
        <w:t xml:space="preserve"> (CIS)</w:t>
      </w:r>
      <w:r w:rsidR="00B329B0">
        <w:rPr>
          <w:rFonts w:ascii="Times New Roman" w:hAnsi="Times New Roman" w:cs="Times New Roman"/>
          <w:color w:val="000000"/>
          <w:sz w:val="20"/>
          <w:szCs w:val="20"/>
        </w:rPr>
        <w:t xml:space="preserve">, </w:t>
      </w:r>
      <w:r w:rsidR="003C733E">
        <w:rPr>
          <w:rFonts w:ascii="Times New Roman" w:hAnsi="Times New Roman" w:cs="Times New Roman"/>
          <w:color w:val="000000"/>
          <w:sz w:val="20"/>
          <w:szCs w:val="20"/>
        </w:rPr>
        <w:t>linked to 2011 Census data</w:t>
      </w:r>
      <w:r w:rsidR="00927C8A">
        <w:rPr>
          <w:rFonts w:ascii="Times New Roman" w:hAnsi="Times New Roman" w:cs="Times New Roman"/>
          <w:color w:val="000000"/>
          <w:sz w:val="20"/>
          <w:szCs w:val="20"/>
        </w:rPr>
        <w:t xml:space="preserve"> by</w:t>
      </w:r>
      <w:r w:rsidR="003C733E">
        <w:rPr>
          <w:rFonts w:ascii="Times New Roman" w:hAnsi="Times New Roman" w:cs="Times New Roman"/>
          <w:color w:val="000000"/>
          <w:sz w:val="20"/>
          <w:szCs w:val="20"/>
        </w:rPr>
        <w:t xml:space="preserve"> </w:t>
      </w:r>
      <w:r w:rsidR="00DB362C">
        <w:rPr>
          <w:rFonts w:ascii="Times New Roman" w:hAnsi="Times New Roman" w:cs="Times New Roman"/>
          <w:color w:val="000000"/>
          <w:sz w:val="20"/>
          <w:szCs w:val="20"/>
        </w:rPr>
        <w:t>fore</w:t>
      </w:r>
      <w:r w:rsidR="003C733E">
        <w:rPr>
          <w:rFonts w:ascii="Times New Roman" w:hAnsi="Times New Roman" w:cs="Times New Roman"/>
          <w:color w:val="000000"/>
          <w:sz w:val="20"/>
          <w:szCs w:val="20"/>
        </w:rPr>
        <w:t>name, surname, sex and post</w:t>
      </w:r>
      <w:r w:rsidR="00435FC3">
        <w:rPr>
          <w:rFonts w:ascii="Times New Roman" w:hAnsi="Times New Roman" w:cs="Times New Roman"/>
          <w:color w:val="000000"/>
          <w:sz w:val="20"/>
          <w:szCs w:val="20"/>
        </w:rPr>
        <w:t xml:space="preserve">al </w:t>
      </w:r>
      <w:r w:rsidR="003C733E">
        <w:rPr>
          <w:rFonts w:ascii="Times New Roman" w:hAnsi="Times New Roman" w:cs="Times New Roman"/>
          <w:color w:val="000000"/>
          <w:sz w:val="20"/>
          <w:szCs w:val="20"/>
        </w:rPr>
        <w:t>code.</w:t>
      </w:r>
      <w:r w:rsidR="004E62D9">
        <w:rPr>
          <w:rFonts w:ascii="Times New Roman" w:hAnsi="Times New Roman" w:cs="Times New Roman"/>
          <w:color w:val="000000"/>
          <w:sz w:val="20"/>
          <w:szCs w:val="20"/>
        </w:rPr>
        <w:t xml:space="preserve"> </w:t>
      </w:r>
      <w:r w:rsidR="003F2071">
        <w:rPr>
          <w:rFonts w:ascii="Times New Roman" w:hAnsi="Times New Roman" w:cs="Times New Roman"/>
          <w:color w:val="000000"/>
          <w:sz w:val="20"/>
          <w:szCs w:val="20"/>
        </w:rPr>
        <w:t xml:space="preserve">Where age was observed on </w:t>
      </w:r>
      <w:r w:rsidR="00E5317A">
        <w:rPr>
          <w:rFonts w:ascii="Times New Roman" w:hAnsi="Times New Roman" w:cs="Times New Roman"/>
          <w:color w:val="000000"/>
          <w:sz w:val="20"/>
          <w:szCs w:val="20"/>
        </w:rPr>
        <w:t xml:space="preserve">the </w:t>
      </w:r>
      <w:r w:rsidR="004A3C10">
        <w:rPr>
          <w:rFonts w:ascii="Times New Roman" w:hAnsi="Times New Roman" w:cs="Times New Roman"/>
          <w:color w:val="000000"/>
          <w:sz w:val="20"/>
          <w:szCs w:val="20"/>
        </w:rPr>
        <w:t xml:space="preserve">administrative </w:t>
      </w:r>
      <w:r w:rsidR="00E5317A">
        <w:rPr>
          <w:rFonts w:ascii="Times New Roman" w:hAnsi="Times New Roman" w:cs="Times New Roman"/>
          <w:color w:val="000000"/>
          <w:sz w:val="20"/>
          <w:szCs w:val="20"/>
        </w:rPr>
        <w:t xml:space="preserve">source and the Census, both </w:t>
      </w:r>
      <w:r w:rsidR="00927C8A">
        <w:rPr>
          <w:rFonts w:ascii="Times New Roman" w:hAnsi="Times New Roman" w:cs="Times New Roman"/>
          <w:color w:val="000000"/>
          <w:sz w:val="20"/>
          <w:szCs w:val="20"/>
        </w:rPr>
        <w:t>the PR and CIS datasets</w:t>
      </w:r>
      <w:r w:rsidR="00E5317A">
        <w:rPr>
          <w:rFonts w:ascii="Times New Roman" w:hAnsi="Times New Roman" w:cs="Times New Roman"/>
          <w:color w:val="000000"/>
          <w:sz w:val="20"/>
          <w:szCs w:val="20"/>
        </w:rPr>
        <w:t xml:space="preserve"> had over 98% </w:t>
      </w:r>
      <w:r w:rsidR="00E10BC1">
        <w:rPr>
          <w:rFonts w:ascii="Times New Roman" w:hAnsi="Times New Roman" w:cs="Times New Roman"/>
          <w:color w:val="000000"/>
          <w:sz w:val="20"/>
          <w:szCs w:val="20"/>
        </w:rPr>
        <w:t xml:space="preserve">exact </w:t>
      </w:r>
      <w:r w:rsidR="00E5317A">
        <w:rPr>
          <w:rFonts w:ascii="Times New Roman" w:hAnsi="Times New Roman" w:cs="Times New Roman"/>
          <w:color w:val="000000"/>
          <w:sz w:val="20"/>
          <w:szCs w:val="20"/>
        </w:rPr>
        <w:t>agreement with the Census</w:t>
      </w:r>
      <w:r w:rsidR="00927C8A">
        <w:rPr>
          <w:rFonts w:ascii="Times New Roman" w:hAnsi="Times New Roman" w:cs="Times New Roman"/>
          <w:color w:val="000000"/>
          <w:sz w:val="20"/>
          <w:szCs w:val="20"/>
        </w:rPr>
        <w:t xml:space="preserve"> age</w:t>
      </w:r>
      <w:r w:rsidR="003C0F94">
        <w:rPr>
          <w:rFonts w:ascii="Times New Roman" w:hAnsi="Times New Roman" w:cs="Times New Roman"/>
          <w:color w:val="000000"/>
          <w:sz w:val="20"/>
          <w:szCs w:val="20"/>
        </w:rPr>
        <w:t>, indicating</w:t>
      </w:r>
      <w:r w:rsidR="006D67C4">
        <w:rPr>
          <w:rFonts w:ascii="Times New Roman" w:hAnsi="Times New Roman" w:cs="Times New Roman"/>
          <w:color w:val="000000"/>
          <w:sz w:val="20"/>
          <w:szCs w:val="20"/>
        </w:rPr>
        <w:t xml:space="preserve"> high reliability of the age variable</w:t>
      </w:r>
      <w:r w:rsidR="00E5317A">
        <w:rPr>
          <w:rFonts w:ascii="Times New Roman" w:hAnsi="Times New Roman" w:cs="Times New Roman"/>
          <w:color w:val="000000"/>
          <w:sz w:val="20"/>
          <w:szCs w:val="20"/>
        </w:rPr>
        <w:t xml:space="preserve">. </w:t>
      </w:r>
    </w:p>
    <w:p w:rsidR="004E62D9" w:rsidRDefault="004E62D9" w:rsidP="00307EB9">
      <w:pPr>
        <w:spacing w:after="0" w:line="240" w:lineRule="auto"/>
        <w:rPr>
          <w:rFonts w:ascii="Times New Roman" w:hAnsi="Times New Roman" w:cs="Times New Roman"/>
          <w:color w:val="000000"/>
          <w:sz w:val="20"/>
          <w:szCs w:val="20"/>
        </w:rPr>
      </w:pPr>
    </w:p>
    <w:p w:rsidR="00C458D1" w:rsidRDefault="00E5317A" w:rsidP="00307EB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w:t>
      </w:r>
      <w:r w:rsidR="002F2FAF">
        <w:rPr>
          <w:rFonts w:ascii="Times New Roman" w:hAnsi="Times New Roman" w:cs="Times New Roman"/>
          <w:color w:val="000000"/>
          <w:sz w:val="20"/>
          <w:szCs w:val="20"/>
        </w:rPr>
        <w:t>se</w:t>
      </w:r>
      <w:r>
        <w:rPr>
          <w:rFonts w:ascii="Times New Roman" w:hAnsi="Times New Roman" w:cs="Times New Roman"/>
          <w:color w:val="000000"/>
          <w:sz w:val="20"/>
          <w:szCs w:val="20"/>
        </w:rPr>
        <w:t xml:space="preserve"> observed</w:t>
      </w:r>
      <w:r w:rsidR="00DF16D3">
        <w:rPr>
          <w:rFonts w:ascii="Times New Roman" w:hAnsi="Times New Roman" w:cs="Times New Roman"/>
          <w:color w:val="000000"/>
          <w:sz w:val="20"/>
          <w:szCs w:val="20"/>
        </w:rPr>
        <w:t xml:space="preserve"> error distribution</w:t>
      </w:r>
      <w:r>
        <w:rPr>
          <w:rFonts w:ascii="Times New Roman" w:hAnsi="Times New Roman" w:cs="Times New Roman"/>
          <w:color w:val="000000"/>
          <w:sz w:val="20"/>
          <w:szCs w:val="20"/>
        </w:rPr>
        <w:t>s were</w:t>
      </w:r>
      <w:r w:rsidR="00927C8A">
        <w:rPr>
          <w:rFonts w:ascii="Times New Roman" w:hAnsi="Times New Roman" w:cs="Times New Roman"/>
          <w:color w:val="000000"/>
          <w:sz w:val="20"/>
          <w:szCs w:val="20"/>
        </w:rPr>
        <w:t xml:space="preserve"> then</w:t>
      </w:r>
      <w:r w:rsidR="00DF16D3">
        <w:rPr>
          <w:rFonts w:ascii="Times New Roman" w:hAnsi="Times New Roman" w:cs="Times New Roman"/>
          <w:color w:val="000000"/>
          <w:sz w:val="20"/>
          <w:szCs w:val="20"/>
        </w:rPr>
        <w:t xml:space="preserve"> used to construct a further </w:t>
      </w:r>
      <w:r>
        <w:rPr>
          <w:rFonts w:ascii="Times New Roman" w:hAnsi="Times New Roman" w:cs="Times New Roman"/>
          <w:color w:val="000000"/>
          <w:sz w:val="20"/>
          <w:szCs w:val="20"/>
        </w:rPr>
        <w:t xml:space="preserve">set of synthetic </w:t>
      </w:r>
      <w:r w:rsidR="004A3C10">
        <w:rPr>
          <w:rFonts w:ascii="Times New Roman" w:hAnsi="Times New Roman" w:cs="Times New Roman"/>
          <w:color w:val="000000"/>
          <w:sz w:val="20"/>
          <w:szCs w:val="20"/>
        </w:rPr>
        <w:t xml:space="preserve">administrative </w:t>
      </w:r>
      <w:r>
        <w:rPr>
          <w:rFonts w:ascii="Times New Roman" w:hAnsi="Times New Roman" w:cs="Times New Roman"/>
          <w:color w:val="000000"/>
          <w:sz w:val="20"/>
          <w:szCs w:val="20"/>
        </w:rPr>
        <w:t>datasets</w:t>
      </w:r>
      <w:r w:rsidR="00C458D1">
        <w:rPr>
          <w:rFonts w:ascii="Times New Roman" w:hAnsi="Times New Roman" w:cs="Times New Roman"/>
          <w:color w:val="000000"/>
          <w:sz w:val="20"/>
          <w:szCs w:val="20"/>
        </w:rPr>
        <w:t>, which w</w:t>
      </w:r>
      <w:r w:rsidR="002F53BD">
        <w:rPr>
          <w:rFonts w:ascii="Times New Roman" w:hAnsi="Times New Roman" w:cs="Times New Roman"/>
          <w:color w:val="000000"/>
          <w:sz w:val="20"/>
          <w:szCs w:val="20"/>
        </w:rPr>
        <w:t>ere</w:t>
      </w:r>
      <w:r w:rsidR="00C458D1">
        <w:rPr>
          <w:rFonts w:ascii="Times New Roman" w:hAnsi="Times New Roman" w:cs="Times New Roman"/>
          <w:color w:val="000000"/>
          <w:sz w:val="20"/>
          <w:szCs w:val="20"/>
        </w:rPr>
        <w:t xml:space="preserve"> </w:t>
      </w:r>
      <w:r w:rsidR="00DB362C">
        <w:rPr>
          <w:rFonts w:ascii="Times New Roman" w:hAnsi="Times New Roman" w:cs="Times New Roman"/>
          <w:color w:val="000000"/>
          <w:sz w:val="20"/>
          <w:szCs w:val="20"/>
        </w:rPr>
        <w:t>used as auxiliary information in imputation of the perturbed dataset</w:t>
      </w:r>
      <w:r>
        <w:rPr>
          <w:rFonts w:ascii="Times New Roman" w:hAnsi="Times New Roman" w:cs="Times New Roman"/>
          <w:color w:val="000000"/>
          <w:sz w:val="20"/>
          <w:szCs w:val="20"/>
        </w:rPr>
        <w:t xml:space="preserve">, </w:t>
      </w:r>
      <w:r w:rsidR="004E62D9">
        <w:rPr>
          <w:rFonts w:ascii="Times New Roman" w:hAnsi="Times New Roman" w:cs="Times New Roman"/>
          <w:color w:val="000000"/>
          <w:sz w:val="20"/>
          <w:szCs w:val="20"/>
        </w:rPr>
        <w:t xml:space="preserve">in the same way </w:t>
      </w:r>
      <w:r>
        <w:rPr>
          <w:rFonts w:ascii="Times New Roman" w:hAnsi="Times New Roman" w:cs="Times New Roman"/>
          <w:color w:val="000000"/>
          <w:sz w:val="20"/>
          <w:szCs w:val="20"/>
        </w:rPr>
        <w:t>as with the other synthetic datasets.</w:t>
      </w:r>
    </w:p>
    <w:p w:rsidR="00927C8A" w:rsidRDefault="00927C8A" w:rsidP="00307EB9">
      <w:pPr>
        <w:spacing w:after="0" w:line="240" w:lineRule="auto"/>
        <w:rPr>
          <w:rFonts w:ascii="Times New Roman" w:hAnsi="Times New Roman" w:cs="Times New Roman"/>
          <w:color w:val="000000"/>
          <w:sz w:val="20"/>
          <w:szCs w:val="20"/>
        </w:rPr>
      </w:pPr>
    </w:p>
    <w:p w:rsidR="00E10BC1" w:rsidRDefault="00927C8A" w:rsidP="00307EB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Table 2.4-1 sets</w:t>
      </w:r>
      <w:r w:rsidR="0010119B">
        <w:rPr>
          <w:rFonts w:ascii="Times New Roman" w:hAnsi="Times New Roman" w:cs="Times New Roman"/>
          <w:color w:val="000000"/>
          <w:sz w:val="20"/>
          <w:szCs w:val="20"/>
        </w:rPr>
        <w:t xml:space="preserve"> out</w:t>
      </w:r>
      <w:r>
        <w:rPr>
          <w:rFonts w:ascii="Times New Roman" w:hAnsi="Times New Roman" w:cs="Times New Roman"/>
          <w:color w:val="000000"/>
          <w:sz w:val="20"/>
          <w:szCs w:val="20"/>
        </w:rPr>
        <w:t xml:space="preserve"> </w:t>
      </w:r>
      <w:r w:rsidR="00E10BC1">
        <w:rPr>
          <w:rFonts w:ascii="Times New Roman" w:hAnsi="Times New Roman" w:cs="Times New Roman"/>
          <w:color w:val="000000"/>
          <w:sz w:val="20"/>
          <w:szCs w:val="20"/>
        </w:rPr>
        <w:t xml:space="preserve">the distributions of the error in the imputed age compared with the true age for the two conditions, compared with the exact </w:t>
      </w:r>
      <w:r w:rsidR="004A3C10">
        <w:rPr>
          <w:rFonts w:ascii="Times New Roman" w:hAnsi="Times New Roman" w:cs="Times New Roman"/>
          <w:color w:val="000000"/>
          <w:sz w:val="20"/>
          <w:szCs w:val="20"/>
        </w:rPr>
        <w:t xml:space="preserve">administrative </w:t>
      </w:r>
      <w:r w:rsidR="00E10BC1">
        <w:rPr>
          <w:rFonts w:ascii="Times New Roman" w:hAnsi="Times New Roman" w:cs="Times New Roman"/>
          <w:color w:val="000000"/>
          <w:sz w:val="20"/>
          <w:szCs w:val="20"/>
        </w:rPr>
        <w:t xml:space="preserve">data and no </w:t>
      </w:r>
      <w:r w:rsidR="004A3C10">
        <w:rPr>
          <w:rFonts w:ascii="Times New Roman" w:hAnsi="Times New Roman" w:cs="Times New Roman"/>
          <w:color w:val="000000"/>
          <w:sz w:val="20"/>
          <w:szCs w:val="20"/>
        </w:rPr>
        <w:t xml:space="preserve">administrative </w:t>
      </w:r>
      <w:r w:rsidR="00E10BC1">
        <w:rPr>
          <w:rFonts w:ascii="Times New Roman" w:hAnsi="Times New Roman" w:cs="Times New Roman"/>
          <w:color w:val="000000"/>
          <w:sz w:val="20"/>
          <w:szCs w:val="20"/>
        </w:rPr>
        <w:t>data conditions.</w:t>
      </w:r>
      <w:r>
        <w:rPr>
          <w:rFonts w:ascii="Times New Roman" w:hAnsi="Times New Roman" w:cs="Times New Roman"/>
          <w:color w:val="000000"/>
          <w:sz w:val="20"/>
          <w:szCs w:val="20"/>
        </w:rPr>
        <w:t xml:space="preserve"> </w:t>
      </w:r>
      <w:r w:rsidR="006D67C4">
        <w:rPr>
          <w:rFonts w:ascii="Times New Roman" w:hAnsi="Times New Roman" w:cs="Times New Roman"/>
          <w:color w:val="000000"/>
          <w:sz w:val="20"/>
          <w:szCs w:val="20"/>
        </w:rPr>
        <w:t xml:space="preserve">Predictive accuracy was similar to that of the exact </w:t>
      </w:r>
      <w:r w:rsidR="004A3C10">
        <w:rPr>
          <w:rFonts w:ascii="Times New Roman" w:hAnsi="Times New Roman" w:cs="Times New Roman"/>
          <w:color w:val="000000"/>
          <w:sz w:val="20"/>
          <w:szCs w:val="20"/>
        </w:rPr>
        <w:t xml:space="preserve">administrative </w:t>
      </w:r>
      <w:r w:rsidR="006D67C4">
        <w:rPr>
          <w:rFonts w:ascii="Times New Roman" w:hAnsi="Times New Roman" w:cs="Times New Roman"/>
          <w:color w:val="000000"/>
          <w:sz w:val="20"/>
          <w:szCs w:val="20"/>
        </w:rPr>
        <w:t>conditions, which is to be expected given the high reliability of the age variable.</w:t>
      </w:r>
    </w:p>
    <w:p w:rsidR="00E503B3" w:rsidRDefault="00E503B3" w:rsidP="00307EB9">
      <w:pPr>
        <w:spacing w:after="0" w:line="240" w:lineRule="auto"/>
        <w:rPr>
          <w:rFonts w:ascii="Times New Roman" w:hAnsi="Times New Roman" w:cs="Times New Roman"/>
          <w:color w:val="000000"/>
          <w:sz w:val="20"/>
          <w:szCs w:val="20"/>
        </w:rPr>
      </w:pPr>
    </w:p>
    <w:p w:rsidR="00E503B3" w:rsidRPr="00E503B3" w:rsidRDefault="00E503B3" w:rsidP="00307EB9">
      <w:pPr>
        <w:spacing w:after="0" w:line="240" w:lineRule="auto"/>
        <w:rPr>
          <w:rFonts w:ascii="Times New Roman" w:hAnsi="Times New Roman" w:cs="Times New Roman"/>
          <w:b/>
          <w:color w:val="000000"/>
          <w:sz w:val="20"/>
          <w:szCs w:val="20"/>
        </w:rPr>
      </w:pPr>
      <w:r w:rsidRPr="00E503B3">
        <w:rPr>
          <w:rFonts w:ascii="Times New Roman" w:hAnsi="Times New Roman" w:cs="Times New Roman"/>
          <w:b/>
          <w:color w:val="000000"/>
          <w:sz w:val="20"/>
          <w:szCs w:val="20"/>
        </w:rPr>
        <w:t>Table 2.4-1</w:t>
      </w:r>
    </w:p>
    <w:p w:rsidR="00E503B3" w:rsidRPr="005A11CF" w:rsidRDefault="00E503B3" w:rsidP="00E503B3">
      <w:pPr>
        <w:pStyle w:val="Caption"/>
        <w:keepNext/>
        <w:rPr>
          <w:rFonts w:ascii="Times New Roman" w:hAnsi="Times New Roman" w:cs="Times New Roman"/>
          <w:color w:val="auto"/>
          <w:sz w:val="20"/>
          <w:szCs w:val="20"/>
        </w:rPr>
      </w:pPr>
      <w:r w:rsidRPr="005A11CF">
        <w:rPr>
          <w:rFonts w:ascii="Times New Roman" w:hAnsi="Times New Roman" w:cs="Times New Roman"/>
          <w:color w:val="auto"/>
          <w:sz w:val="20"/>
          <w:szCs w:val="20"/>
        </w:rPr>
        <w:lastRenderedPageBreak/>
        <w:t xml:space="preserve">Summary statistics for the error in </w:t>
      </w:r>
      <w:r w:rsidR="00F32110">
        <w:rPr>
          <w:rFonts w:ascii="Times New Roman" w:hAnsi="Times New Roman" w:cs="Times New Roman"/>
          <w:color w:val="auto"/>
          <w:sz w:val="20"/>
          <w:szCs w:val="20"/>
        </w:rPr>
        <w:t xml:space="preserve">the </w:t>
      </w:r>
      <w:r w:rsidRPr="005A11CF">
        <w:rPr>
          <w:rFonts w:ascii="Times New Roman" w:hAnsi="Times New Roman" w:cs="Times New Roman"/>
          <w:color w:val="auto"/>
          <w:sz w:val="20"/>
          <w:szCs w:val="20"/>
        </w:rPr>
        <w:t xml:space="preserve">imputed age compared with </w:t>
      </w:r>
      <w:r w:rsidR="00F32110">
        <w:rPr>
          <w:rFonts w:ascii="Times New Roman" w:hAnsi="Times New Roman" w:cs="Times New Roman"/>
          <w:color w:val="auto"/>
          <w:sz w:val="20"/>
          <w:szCs w:val="20"/>
        </w:rPr>
        <w:t xml:space="preserve">the </w:t>
      </w:r>
      <w:r w:rsidRPr="005A11CF">
        <w:rPr>
          <w:rFonts w:ascii="Times New Roman" w:hAnsi="Times New Roman" w:cs="Times New Roman"/>
          <w:color w:val="auto"/>
          <w:sz w:val="20"/>
          <w:szCs w:val="20"/>
        </w:rPr>
        <w:t xml:space="preserve">true age for the </w:t>
      </w:r>
      <w:r>
        <w:rPr>
          <w:rFonts w:ascii="Times New Roman" w:hAnsi="Times New Roman" w:cs="Times New Roman"/>
          <w:color w:val="auto"/>
          <w:sz w:val="20"/>
          <w:szCs w:val="20"/>
        </w:rPr>
        <w:t xml:space="preserve">CIS and PR synthetic conditions </w:t>
      </w:r>
      <w:r w:rsidR="00FF1899">
        <w:rPr>
          <w:rFonts w:ascii="Times New Roman" w:hAnsi="Times New Roman" w:cs="Times New Roman"/>
          <w:color w:val="auto"/>
          <w:sz w:val="20"/>
          <w:szCs w:val="20"/>
        </w:rPr>
        <w:t>contrasted</w:t>
      </w:r>
      <w:r>
        <w:rPr>
          <w:rFonts w:ascii="Times New Roman" w:hAnsi="Times New Roman" w:cs="Times New Roman"/>
          <w:color w:val="auto"/>
          <w:sz w:val="20"/>
          <w:szCs w:val="20"/>
        </w:rPr>
        <w:t xml:space="preserve"> with the </w:t>
      </w:r>
      <w:r w:rsidRPr="005A11CF">
        <w:rPr>
          <w:rFonts w:ascii="Times New Roman" w:hAnsi="Times New Roman" w:cs="Times New Roman"/>
          <w:color w:val="auto"/>
          <w:sz w:val="20"/>
          <w:szCs w:val="20"/>
        </w:rPr>
        <w:t>no admin data and exact admin data conditions</w:t>
      </w:r>
    </w:p>
    <w:tbl>
      <w:tblPr>
        <w:tblStyle w:val="LightShading1"/>
        <w:tblW w:w="0" w:type="auto"/>
        <w:tblLayout w:type="fixed"/>
        <w:tblLook w:val="04A0"/>
      </w:tblPr>
      <w:tblGrid>
        <w:gridCol w:w="995"/>
        <w:gridCol w:w="900"/>
        <w:gridCol w:w="668"/>
        <w:gridCol w:w="668"/>
        <w:gridCol w:w="963"/>
        <w:gridCol w:w="580"/>
        <w:gridCol w:w="580"/>
        <w:gridCol w:w="963"/>
        <w:gridCol w:w="580"/>
        <w:gridCol w:w="580"/>
        <w:gridCol w:w="939"/>
        <w:gridCol w:w="623"/>
        <w:gridCol w:w="537"/>
      </w:tblGrid>
      <w:tr w:rsidR="00E503B3" w:rsidRPr="00E503B3" w:rsidTr="00E503B3">
        <w:trPr>
          <w:cnfStyle w:val="100000000000"/>
          <w:trHeight w:val="300"/>
        </w:trPr>
        <w:tc>
          <w:tcPr>
            <w:cnfStyle w:val="001000000000"/>
            <w:tcW w:w="995" w:type="dxa"/>
            <w:tcBorders>
              <w:top w:val="single" w:sz="4" w:space="0" w:color="auto"/>
              <w:bottom w:val="single" w:sz="4" w:space="0" w:color="auto"/>
            </w:tcBorders>
            <w:shd w:val="clear" w:color="auto" w:fill="auto"/>
            <w:noWrap/>
            <w:hideMark/>
          </w:tcPr>
          <w:p w:rsidR="00E503B3" w:rsidRPr="00E503B3" w:rsidRDefault="00E503B3" w:rsidP="00E503B3">
            <w:pPr>
              <w:rPr>
                <w:rFonts w:ascii="Times New Roman" w:hAnsi="Times New Roman" w:cs="Times New Roman"/>
                <w:color w:val="000000"/>
                <w:sz w:val="20"/>
                <w:szCs w:val="20"/>
              </w:rPr>
            </w:pPr>
            <w:r w:rsidRPr="00E503B3">
              <w:rPr>
                <w:rFonts w:ascii="Times New Roman" w:hAnsi="Times New Roman" w:cs="Times New Roman"/>
                <w:color w:val="000000"/>
                <w:sz w:val="20"/>
                <w:szCs w:val="20"/>
              </w:rPr>
              <w:t> </w:t>
            </w:r>
          </w:p>
        </w:tc>
        <w:tc>
          <w:tcPr>
            <w:tcW w:w="2236" w:type="dxa"/>
            <w:gridSpan w:val="3"/>
            <w:tcBorders>
              <w:top w:val="single" w:sz="4" w:space="0" w:color="auto"/>
              <w:bottom w:val="single" w:sz="4" w:space="0" w:color="auto"/>
            </w:tcBorders>
            <w:shd w:val="clear" w:color="auto" w:fill="auto"/>
            <w:noWrap/>
            <w:hideMark/>
          </w:tcPr>
          <w:p w:rsidR="00E503B3" w:rsidRPr="00E503B3" w:rsidRDefault="00E503B3" w:rsidP="00E503B3">
            <w:pPr>
              <w:jc w:val="center"/>
              <w:cnfStyle w:val="100000000000"/>
              <w:rPr>
                <w:rFonts w:ascii="Times New Roman" w:hAnsi="Times New Roman" w:cs="Times New Roman"/>
                <w:color w:val="000000"/>
                <w:sz w:val="20"/>
                <w:szCs w:val="20"/>
              </w:rPr>
            </w:pPr>
            <w:r w:rsidRPr="00E503B3">
              <w:rPr>
                <w:rFonts w:ascii="Times New Roman" w:hAnsi="Times New Roman" w:cs="Times New Roman"/>
                <w:color w:val="000000"/>
                <w:sz w:val="20"/>
                <w:szCs w:val="20"/>
              </w:rPr>
              <w:t>PR</w:t>
            </w:r>
          </w:p>
        </w:tc>
        <w:tc>
          <w:tcPr>
            <w:tcW w:w="2123" w:type="dxa"/>
            <w:gridSpan w:val="3"/>
            <w:tcBorders>
              <w:top w:val="single" w:sz="4" w:space="0" w:color="auto"/>
              <w:bottom w:val="single" w:sz="4" w:space="0" w:color="auto"/>
            </w:tcBorders>
            <w:shd w:val="clear" w:color="auto" w:fill="auto"/>
            <w:noWrap/>
            <w:hideMark/>
          </w:tcPr>
          <w:p w:rsidR="00E503B3" w:rsidRPr="00E503B3" w:rsidRDefault="00E503B3" w:rsidP="00E503B3">
            <w:pPr>
              <w:jc w:val="center"/>
              <w:cnfStyle w:val="100000000000"/>
              <w:rPr>
                <w:rFonts w:ascii="Times New Roman" w:hAnsi="Times New Roman" w:cs="Times New Roman"/>
                <w:color w:val="000000"/>
                <w:sz w:val="20"/>
                <w:szCs w:val="20"/>
              </w:rPr>
            </w:pPr>
            <w:r w:rsidRPr="00E503B3">
              <w:rPr>
                <w:rFonts w:ascii="Times New Roman" w:hAnsi="Times New Roman" w:cs="Times New Roman"/>
                <w:color w:val="000000"/>
                <w:sz w:val="20"/>
                <w:szCs w:val="20"/>
              </w:rPr>
              <w:t>CIS</w:t>
            </w:r>
          </w:p>
        </w:tc>
        <w:tc>
          <w:tcPr>
            <w:tcW w:w="2123" w:type="dxa"/>
            <w:gridSpan w:val="3"/>
            <w:tcBorders>
              <w:top w:val="single" w:sz="4" w:space="0" w:color="auto"/>
              <w:bottom w:val="single" w:sz="4" w:space="0" w:color="auto"/>
            </w:tcBorders>
            <w:shd w:val="clear" w:color="auto" w:fill="auto"/>
            <w:noWrap/>
            <w:hideMark/>
          </w:tcPr>
          <w:p w:rsidR="00E503B3" w:rsidRPr="00E503B3" w:rsidRDefault="00E503B3" w:rsidP="00E503B3">
            <w:pPr>
              <w:jc w:val="center"/>
              <w:cnfStyle w:val="100000000000"/>
              <w:rPr>
                <w:rFonts w:ascii="Times New Roman" w:hAnsi="Times New Roman" w:cs="Times New Roman"/>
                <w:color w:val="000000"/>
                <w:sz w:val="20"/>
                <w:szCs w:val="20"/>
              </w:rPr>
            </w:pPr>
            <w:r w:rsidRPr="00B73C91">
              <w:rPr>
                <w:rFonts w:ascii="Times New Roman" w:eastAsia="Times New Roman" w:hAnsi="Times New Roman" w:cs="Times New Roman"/>
                <w:color w:val="000000"/>
                <w:sz w:val="20"/>
                <w:szCs w:val="20"/>
                <w:lang w:eastAsia="en-GB"/>
              </w:rPr>
              <w:t xml:space="preserve">No </w:t>
            </w:r>
            <w:r>
              <w:rPr>
                <w:rFonts w:ascii="Times New Roman" w:eastAsia="Times New Roman" w:hAnsi="Times New Roman" w:cs="Times New Roman"/>
                <w:color w:val="000000"/>
                <w:sz w:val="20"/>
                <w:szCs w:val="20"/>
                <w:lang w:eastAsia="en-GB"/>
              </w:rPr>
              <w:t>a</w:t>
            </w:r>
            <w:r w:rsidRPr="00B73C91">
              <w:rPr>
                <w:rFonts w:ascii="Times New Roman" w:eastAsia="Times New Roman" w:hAnsi="Times New Roman" w:cs="Times New Roman"/>
                <w:color w:val="000000"/>
                <w:sz w:val="20"/>
                <w:szCs w:val="20"/>
                <w:lang w:eastAsia="en-GB"/>
              </w:rPr>
              <w:t>dmin</w:t>
            </w:r>
            <w:r>
              <w:rPr>
                <w:rFonts w:ascii="Times New Roman" w:eastAsia="Times New Roman" w:hAnsi="Times New Roman" w:cs="Times New Roman"/>
                <w:color w:val="000000"/>
                <w:sz w:val="20"/>
                <w:szCs w:val="20"/>
                <w:lang w:eastAsia="en-GB"/>
              </w:rPr>
              <w:t xml:space="preserve"> data</w:t>
            </w:r>
          </w:p>
        </w:tc>
        <w:tc>
          <w:tcPr>
            <w:tcW w:w="2099" w:type="dxa"/>
            <w:gridSpan w:val="3"/>
            <w:tcBorders>
              <w:top w:val="single" w:sz="4" w:space="0" w:color="auto"/>
              <w:bottom w:val="single" w:sz="4" w:space="0" w:color="auto"/>
            </w:tcBorders>
            <w:shd w:val="clear" w:color="auto" w:fill="auto"/>
          </w:tcPr>
          <w:p w:rsidR="00E503B3" w:rsidRPr="00B73C91" w:rsidRDefault="00E503B3" w:rsidP="00E503B3">
            <w:pPr>
              <w:jc w:val="center"/>
              <w:cnfStyle w:val="100000000000"/>
              <w:rPr>
                <w:rFonts w:ascii="Times New Roman" w:eastAsia="Times New Roman" w:hAnsi="Times New Roman" w:cs="Times New Roman"/>
                <w:b w:val="0"/>
                <w:bCs w:val="0"/>
                <w:color w:val="000000"/>
                <w:sz w:val="20"/>
                <w:szCs w:val="20"/>
                <w:lang w:eastAsia="en-GB"/>
              </w:rPr>
            </w:pPr>
            <w:r w:rsidRPr="00B73C91">
              <w:rPr>
                <w:rFonts w:ascii="Times New Roman" w:eastAsia="Times New Roman" w:hAnsi="Times New Roman" w:cs="Times New Roman"/>
                <w:color w:val="000000"/>
                <w:sz w:val="20"/>
                <w:szCs w:val="20"/>
                <w:lang w:eastAsia="en-GB"/>
              </w:rPr>
              <w:t>Exact admin</w:t>
            </w:r>
            <w:r>
              <w:rPr>
                <w:rFonts w:ascii="Times New Roman" w:eastAsia="Times New Roman" w:hAnsi="Times New Roman" w:cs="Times New Roman"/>
                <w:color w:val="000000"/>
                <w:sz w:val="20"/>
                <w:szCs w:val="20"/>
                <w:lang w:eastAsia="en-GB"/>
              </w:rPr>
              <w:t xml:space="preserve"> data</w:t>
            </w:r>
          </w:p>
        </w:tc>
      </w:tr>
      <w:tr w:rsidR="00E503B3" w:rsidRPr="00E503B3" w:rsidTr="000B7A24">
        <w:trPr>
          <w:cnfStyle w:val="000000100000"/>
          <w:trHeight w:val="300"/>
        </w:trPr>
        <w:tc>
          <w:tcPr>
            <w:cnfStyle w:val="001000000000"/>
            <w:tcW w:w="995" w:type="dxa"/>
            <w:tcBorders>
              <w:top w:val="single" w:sz="4" w:space="0" w:color="auto"/>
            </w:tcBorders>
            <w:shd w:val="clear" w:color="auto" w:fill="auto"/>
            <w:hideMark/>
          </w:tcPr>
          <w:p w:rsidR="00E503B3" w:rsidRPr="00E503B3" w:rsidRDefault="00E503B3" w:rsidP="00E503B3">
            <w:pPr>
              <w:rPr>
                <w:rFonts w:ascii="Times New Roman" w:hAnsi="Times New Roman" w:cs="Times New Roman"/>
                <w:color w:val="000000"/>
                <w:sz w:val="18"/>
                <w:szCs w:val="18"/>
              </w:rPr>
            </w:pPr>
            <w:r w:rsidRPr="00E503B3">
              <w:rPr>
                <w:rFonts w:ascii="Times New Roman" w:hAnsi="Times New Roman" w:cs="Times New Roman"/>
                <w:color w:val="000000"/>
                <w:sz w:val="18"/>
                <w:szCs w:val="18"/>
              </w:rPr>
              <w:t> </w:t>
            </w:r>
          </w:p>
        </w:tc>
        <w:tc>
          <w:tcPr>
            <w:tcW w:w="900" w:type="dxa"/>
            <w:tcBorders>
              <w:top w:val="single" w:sz="4" w:space="0" w:color="auto"/>
            </w:tcBorders>
            <w:shd w:val="clear" w:color="auto" w:fill="auto"/>
            <w:vAlign w:val="center"/>
            <w:hideMark/>
          </w:tcPr>
          <w:p w:rsidR="00E503B3" w:rsidRPr="00E503B3" w:rsidRDefault="00E503B3" w:rsidP="000B7A24">
            <w:pPr>
              <w:jc w:val="right"/>
              <w:cnfStyle w:val="000000100000"/>
              <w:rPr>
                <w:rFonts w:ascii="Times New Roman" w:hAnsi="Times New Roman" w:cs="Times New Roman"/>
                <w:b/>
                <w:bCs/>
                <w:i/>
                <w:iCs/>
                <w:color w:val="000000"/>
                <w:sz w:val="18"/>
                <w:szCs w:val="18"/>
              </w:rPr>
            </w:pPr>
            <w:r w:rsidRPr="00E503B3">
              <w:rPr>
                <w:rFonts w:ascii="Times New Roman" w:hAnsi="Times New Roman" w:cs="Times New Roman"/>
                <w:b/>
                <w:bCs/>
                <w:i/>
                <w:iCs/>
                <w:color w:val="000000"/>
                <w:sz w:val="18"/>
                <w:szCs w:val="18"/>
              </w:rPr>
              <w:t>Estimate</w:t>
            </w:r>
          </w:p>
        </w:tc>
        <w:tc>
          <w:tcPr>
            <w:tcW w:w="1336" w:type="dxa"/>
            <w:gridSpan w:val="2"/>
            <w:tcBorders>
              <w:top w:val="single" w:sz="4" w:space="0" w:color="auto"/>
            </w:tcBorders>
            <w:shd w:val="clear" w:color="auto" w:fill="auto"/>
            <w:vAlign w:val="center"/>
            <w:hideMark/>
          </w:tcPr>
          <w:p w:rsidR="00E503B3" w:rsidRPr="00E503B3" w:rsidRDefault="00E503B3" w:rsidP="000B7A24">
            <w:pPr>
              <w:jc w:val="right"/>
              <w:cnfStyle w:val="000000100000"/>
              <w:rPr>
                <w:rFonts w:ascii="Times New Roman" w:hAnsi="Times New Roman" w:cs="Times New Roman"/>
                <w:b/>
                <w:bCs/>
                <w:i/>
                <w:iCs/>
                <w:color w:val="000000"/>
                <w:sz w:val="18"/>
                <w:szCs w:val="18"/>
              </w:rPr>
            </w:pPr>
            <w:r w:rsidRPr="00E503B3">
              <w:rPr>
                <w:rFonts w:ascii="Times New Roman" w:hAnsi="Times New Roman" w:cs="Times New Roman"/>
                <w:b/>
                <w:bCs/>
                <w:i/>
                <w:iCs/>
                <w:color w:val="000000"/>
                <w:sz w:val="18"/>
                <w:szCs w:val="18"/>
              </w:rPr>
              <w:t>95% Confidence Limits</w:t>
            </w:r>
          </w:p>
        </w:tc>
        <w:tc>
          <w:tcPr>
            <w:tcW w:w="963" w:type="dxa"/>
            <w:tcBorders>
              <w:top w:val="single" w:sz="4" w:space="0" w:color="auto"/>
            </w:tcBorders>
            <w:shd w:val="clear" w:color="auto" w:fill="auto"/>
            <w:vAlign w:val="center"/>
            <w:hideMark/>
          </w:tcPr>
          <w:p w:rsidR="00E503B3" w:rsidRPr="00E503B3" w:rsidRDefault="00E503B3" w:rsidP="000B7A24">
            <w:pPr>
              <w:jc w:val="right"/>
              <w:cnfStyle w:val="000000100000"/>
              <w:rPr>
                <w:rFonts w:ascii="Times New Roman" w:hAnsi="Times New Roman" w:cs="Times New Roman"/>
                <w:b/>
                <w:bCs/>
                <w:i/>
                <w:iCs/>
                <w:color w:val="000000"/>
                <w:sz w:val="18"/>
                <w:szCs w:val="18"/>
              </w:rPr>
            </w:pPr>
            <w:r w:rsidRPr="00E503B3">
              <w:rPr>
                <w:rFonts w:ascii="Times New Roman" w:hAnsi="Times New Roman" w:cs="Times New Roman"/>
                <w:b/>
                <w:bCs/>
                <w:i/>
                <w:iCs/>
                <w:color w:val="000000"/>
                <w:sz w:val="18"/>
                <w:szCs w:val="18"/>
              </w:rPr>
              <w:t>Estimate</w:t>
            </w:r>
          </w:p>
        </w:tc>
        <w:tc>
          <w:tcPr>
            <w:tcW w:w="1160" w:type="dxa"/>
            <w:gridSpan w:val="2"/>
            <w:tcBorders>
              <w:top w:val="single" w:sz="4" w:space="0" w:color="auto"/>
            </w:tcBorders>
            <w:shd w:val="clear" w:color="auto" w:fill="auto"/>
            <w:vAlign w:val="center"/>
            <w:hideMark/>
          </w:tcPr>
          <w:p w:rsidR="00E503B3" w:rsidRPr="00E503B3" w:rsidRDefault="00E503B3" w:rsidP="000B7A24">
            <w:pPr>
              <w:jc w:val="right"/>
              <w:cnfStyle w:val="000000100000"/>
              <w:rPr>
                <w:rFonts w:ascii="Times New Roman" w:hAnsi="Times New Roman" w:cs="Times New Roman"/>
                <w:b/>
                <w:bCs/>
                <w:i/>
                <w:iCs/>
                <w:color w:val="000000"/>
                <w:sz w:val="18"/>
                <w:szCs w:val="18"/>
              </w:rPr>
            </w:pPr>
            <w:r w:rsidRPr="00E503B3">
              <w:rPr>
                <w:rFonts w:ascii="Times New Roman" w:hAnsi="Times New Roman" w:cs="Times New Roman"/>
                <w:b/>
                <w:bCs/>
                <w:i/>
                <w:iCs/>
                <w:color w:val="000000"/>
                <w:sz w:val="18"/>
                <w:szCs w:val="18"/>
              </w:rPr>
              <w:t>95% Confidence Limits</w:t>
            </w:r>
          </w:p>
        </w:tc>
        <w:tc>
          <w:tcPr>
            <w:tcW w:w="963" w:type="dxa"/>
            <w:tcBorders>
              <w:top w:val="single" w:sz="4" w:space="0" w:color="auto"/>
            </w:tcBorders>
            <w:shd w:val="clear" w:color="auto" w:fill="auto"/>
            <w:vAlign w:val="center"/>
            <w:hideMark/>
          </w:tcPr>
          <w:p w:rsidR="00E503B3" w:rsidRPr="00E503B3" w:rsidRDefault="00E503B3" w:rsidP="000B7A24">
            <w:pPr>
              <w:jc w:val="right"/>
              <w:cnfStyle w:val="000000100000"/>
              <w:rPr>
                <w:rFonts w:ascii="Times New Roman" w:hAnsi="Times New Roman" w:cs="Times New Roman"/>
                <w:b/>
                <w:bCs/>
                <w:i/>
                <w:iCs/>
                <w:color w:val="000000"/>
                <w:sz w:val="18"/>
                <w:szCs w:val="18"/>
              </w:rPr>
            </w:pPr>
            <w:r w:rsidRPr="00E503B3">
              <w:rPr>
                <w:rFonts w:ascii="Times New Roman" w:eastAsia="Times New Roman" w:hAnsi="Times New Roman" w:cs="Times New Roman"/>
                <w:b/>
                <w:bCs/>
                <w:i/>
                <w:iCs/>
                <w:color w:val="000000"/>
                <w:sz w:val="18"/>
                <w:szCs w:val="18"/>
                <w:lang w:eastAsia="en-GB"/>
              </w:rPr>
              <w:t>Estimate</w:t>
            </w:r>
          </w:p>
        </w:tc>
        <w:tc>
          <w:tcPr>
            <w:tcW w:w="1160" w:type="dxa"/>
            <w:gridSpan w:val="2"/>
            <w:tcBorders>
              <w:top w:val="single" w:sz="4" w:space="0" w:color="auto"/>
            </w:tcBorders>
            <w:shd w:val="clear" w:color="auto" w:fill="auto"/>
            <w:vAlign w:val="center"/>
            <w:hideMark/>
          </w:tcPr>
          <w:p w:rsidR="00E503B3" w:rsidRPr="00E503B3" w:rsidRDefault="00E503B3" w:rsidP="000B7A24">
            <w:pPr>
              <w:jc w:val="right"/>
              <w:cnfStyle w:val="000000100000"/>
              <w:rPr>
                <w:rFonts w:ascii="Times New Roman" w:hAnsi="Times New Roman" w:cs="Times New Roman"/>
                <w:b/>
                <w:bCs/>
                <w:i/>
                <w:iCs/>
                <w:color w:val="000000"/>
                <w:sz w:val="18"/>
                <w:szCs w:val="18"/>
              </w:rPr>
            </w:pPr>
            <w:r w:rsidRPr="00E503B3">
              <w:rPr>
                <w:rFonts w:ascii="Times New Roman" w:eastAsia="Times New Roman" w:hAnsi="Times New Roman" w:cs="Times New Roman"/>
                <w:b/>
                <w:bCs/>
                <w:i/>
                <w:iCs/>
                <w:color w:val="000000"/>
                <w:sz w:val="18"/>
                <w:szCs w:val="18"/>
                <w:lang w:eastAsia="en-GB"/>
              </w:rPr>
              <w:t>95% Confidence Limits</w:t>
            </w:r>
          </w:p>
        </w:tc>
        <w:tc>
          <w:tcPr>
            <w:tcW w:w="939" w:type="dxa"/>
            <w:tcBorders>
              <w:top w:val="single" w:sz="4" w:space="0" w:color="auto"/>
            </w:tcBorders>
            <w:shd w:val="clear" w:color="auto" w:fill="auto"/>
            <w:vAlign w:val="center"/>
          </w:tcPr>
          <w:p w:rsidR="00E503B3" w:rsidRPr="00E503B3" w:rsidRDefault="00E503B3" w:rsidP="000B7A24">
            <w:pPr>
              <w:jc w:val="right"/>
              <w:cnfStyle w:val="000000100000"/>
              <w:rPr>
                <w:rFonts w:ascii="Times New Roman" w:eastAsia="Times New Roman" w:hAnsi="Times New Roman" w:cs="Times New Roman"/>
                <w:b/>
                <w:bCs/>
                <w:i/>
                <w:iCs/>
                <w:color w:val="000000"/>
                <w:sz w:val="18"/>
                <w:szCs w:val="18"/>
                <w:lang w:eastAsia="en-GB"/>
              </w:rPr>
            </w:pPr>
            <w:r w:rsidRPr="00E503B3">
              <w:rPr>
                <w:rFonts w:ascii="Times New Roman" w:eastAsia="Times New Roman" w:hAnsi="Times New Roman" w:cs="Times New Roman"/>
                <w:b/>
                <w:bCs/>
                <w:i/>
                <w:iCs/>
                <w:color w:val="000000"/>
                <w:sz w:val="18"/>
                <w:szCs w:val="18"/>
                <w:lang w:eastAsia="en-GB"/>
              </w:rPr>
              <w:t>Estimate</w:t>
            </w:r>
          </w:p>
        </w:tc>
        <w:tc>
          <w:tcPr>
            <w:tcW w:w="1160" w:type="dxa"/>
            <w:gridSpan w:val="2"/>
            <w:tcBorders>
              <w:top w:val="single" w:sz="4" w:space="0" w:color="auto"/>
            </w:tcBorders>
            <w:shd w:val="clear" w:color="auto" w:fill="auto"/>
            <w:vAlign w:val="center"/>
          </w:tcPr>
          <w:p w:rsidR="00E503B3" w:rsidRPr="00E503B3" w:rsidRDefault="00E503B3" w:rsidP="000B7A24">
            <w:pPr>
              <w:jc w:val="right"/>
              <w:cnfStyle w:val="000000100000"/>
              <w:rPr>
                <w:rFonts w:ascii="Times New Roman" w:eastAsia="Times New Roman" w:hAnsi="Times New Roman" w:cs="Times New Roman"/>
                <w:b/>
                <w:bCs/>
                <w:i/>
                <w:iCs/>
                <w:color w:val="000000"/>
                <w:sz w:val="18"/>
                <w:szCs w:val="18"/>
                <w:lang w:eastAsia="en-GB"/>
              </w:rPr>
            </w:pPr>
            <w:r w:rsidRPr="00E503B3">
              <w:rPr>
                <w:rFonts w:ascii="Times New Roman" w:eastAsia="Times New Roman" w:hAnsi="Times New Roman" w:cs="Times New Roman"/>
                <w:b/>
                <w:bCs/>
                <w:i/>
                <w:iCs/>
                <w:color w:val="000000"/>
                <w:sz w:val="18"/>
                <w:szCs w:val="18"/>
                <w:lang w:eastAsia="en-GB"/>
              </w:rPr>
              <w:t>95% Confidence Limits</w:t>
            </w:r>
          </w:p>
        </w:tc>
      </w:tr>
      <w:tr w:rsidR="00E503B3" w:rsidRPr="00E503B3" w:rsidTr="00A74F09">
        <w:trPr>
          <w:trHeight w:val="300"/>
        </w:trPr>
        <w:tc>
          <w:tcPr>
            <w:cnfStyle w:val="001000000000"/>
            <w:tcW w:w="995" w:type="dxa"/>
            <w:shd w:val="clear" w:color="auto" w:fill="auto"/>
            <w:vAlign w:val="bottom"/>
            <w:hideMark/>
          </w:tcPr>
          <w:p w:rsidR="00E503B3" w:rsidRPr="00E503B3" w:rsidRDefault="00E503B3" w:rsidP="00A74F09">
            <w:pPr>
              <w:rPr>
                <w:rFonts w:ascii="Times New Roman" w:eastAsia="Times New Roman" w:hAnsi="Times New Roman" w:cs="Times New Roman"/>
                <w:b w:val="0"/>
                <w:color w:val="000000"/>
                <w:sz w:val="18"/>
                <w:szCs w:val="18"/>
                <w:lang w:eastAsia="en-GB"/>
              </w:rPr>
            </w:pPr>
            <w:r w:rsidRPr="00E503B3">
              <w:rPr>
                <w:rFonts w:ascii="Times New Roman" w:eastAsia="Times New Roman" w:hAnsi="Times New Roman" w:cs="Times New Roman"/>
                <w:b w:val="0"/>
                <w:color w:val="000000"/>
                <w:sz w:val="18"/>
                <w:szCs w:val="18"/>
                <w:lang w:eastAsia="en-GB"/>
              </w:rPr>
              <w:t>Mean</w:t>
            </w:r>
          </w:p>
        </w:tc>
        <w:tc>
          <w:tcPr>
            <w:tcW w:w="900" w:type="dxa"/>
            <w:shd w:val="clear" w:color="auto" w:fill="auto"/>
            <w:vAlign w:val="bottom"/>
            <w:hideMark/>
          </w:tcPr>
          <w:p w:rsidR="00E503B3" w:rsidRPr="00E503B3" w:rsidRDefault="00E503B3" w:rsidP="00E503B3">
            <w:pPr>
              <w:jc w:val="right"/>
              <w:cnfStyle w:val="000000000000"/>
              <w:rPr>
                <w:rFonts w:ascii="Times New Roman" w:hAnsi="Times New Roman" w:cs="Times New Roman"/>
                <w:color w:val="000000"/>
                <w:sz w:val="18"/>
                <w:szCs w:val="18"/>
              </w:rPr>
            </w:pPr>
            <w:r w:rsidRPr="00E503B3">
              <w:rPr>
                <w:rFonts w:ascii="Times New Roman" w:hAnsi="Times New Roman" w:cs="Times New Roman"/>
                <w:color w:val="000000"/>
                <w:sz w:val="18"/>
                <w:szCs w:val="18"/>
              </w:rPr>
              <w:t>0.20</w:t>
            </w:r>
          </w:p>
        </w:tc>
        <w:tc>
          <w:tcPr>
            <w:tcW w:w="668" w:type="dxa"/>
            <w:shd w:val="clear" w:color="auto" w:fill="auto"/>
            <w:vAlign w:val="bottom"/>
            <w:hideMark/>
          </w:tcPr>
          <w:p w:rsidR="00E503B3" w:rsidRPr="00E503B3" w:rsidRDefault="00E503B3" w:rsidP="00E503B3">
            <w:pPr>
              <w:jc w:val="right"/>
              <w:cnfStyle w:val="000000000000"/>
              <w:rPr>
                <w:rFonts w:ascii="Times New Roman" w:hAnsi="Times New Roman" w:cs="Times New Roman"/>
                <w:color w:val="000000"/>
                <w:sz w:val="18"/>
                <w:szCs w:val="18"/>
              </w:rPr>
            </w:pPr>
            <w:r w:rsidRPr="00E503B3">
              <w:rPr>
                <w:rFonts w:ascii="Times New Roman" w:hAnsi="Times New Roman" w:cs="Times New Roman"/>
                <w:color w:val="000000"/>
                <w:sz w:val="18"/>
                <w:szCs w:val="18"/>
              </w:rPr>
              <w:t>0.17</w:t>
            </w:r>
          </w:p>
        </w:tc>
        <w:tc>
          <w:tcPr>
            <w:tcW w:w="668" w:type="dxa"/>
            <w:shd w:val="clear" w:color="auto" w:fill="auto"/>
            <w:vAlign w:val="bottom"/>
            <w:hideMark/>
          </w:tcPr>
          <w:p w:rsidR="00E503B3" w:rsidRPr="00E503B3" w:rsidRDefault="00E503B3" w:rsidP="00E503B3">
            <w:pPr>
              <w:jc w:val="right"/>
              <w:cnfStyle w:val="000000000000"/>
              <w:rPr>
                <w:rFonts w:ascii="Times New Roman" w:hAnsi="Times New Roman" w:cs="Times New Roman"/>
                <w:color w:val="000000"/>
                <w:sz w:val="18"/>
                <w:szCs w:val="18"/>
              </w:rPr>
            </w:pPr>
            <w:r w:rsidRPr="00E503B3">
              <w:rPr>
                <w:rFonts w:ascii="Times New Roman" w:hAnsi="Times New Roman" w:cs="Times New Roman"/>
                <w:color w:val="000000"/>
                <w:sz w:val="18"/>
                <w:szCs w:val="18"/>
              </w:rPr>
              <w:t>0.23</w:t>
            </w:r>
          </w:p>
        </w:tc>
        <w:tc>
          <w:tcPr>
            <w:tcW w:w="963" w:type="dxa"/>
            <w:shd w:val="clear" w:color="auto" w:fill="auto"/>
            <w:noWrap/>
            <w:vAlign w:val="bottom"/>
            <w:hideMark/>
          </w:tcPr>
          <w:p w:rsidR="00E503B3" w:rsidRPr="00E503B3" w:rsidRDefault="00E503B3" w:rsidP="00E503B3">
            <w:pPr>
              <w:jc w:val="right"/>
              <w:cnfStyle w:val="000000000000"/>
              <w:rPr>
                <w:rFonts w:ascii="Times New Roman" w:hAnsi="Times New Roman" w:cs="Times New Roman"/>
                <w:color w:val="000000"/>
                <w:sz w:val="18"/>
                <w:szCs w:val="18"/>
              </w:rPr>
            </w:pPr>
            <w:r w:rsidRPr="00E503B3">
              <w:rPr>
                <w:rFonts w:ascii="Times New Roman" w:hAnsi="Times New Roman" w:cs="Times New Roman"/>
                <w:color w:val="000000"/>
                <w:sz w:val="18"/>
                <w:szCs w:val="18"/>
              </w:rPr>
              <w:t>0.21</w:t>
            </w:r>
          </w:p>
        </w:tc>
        <w:tc>
          <w:tcPr>
            <w:tcW w:w="580" w:type="dxa"/>
            <w:shd w:val="clear" w:color="auto" w:fill="auto"/>
            <w:noWrap/>
            <w:vAlign w:val="bottom"/>
            <w:hideMark/>
          </w:tcPr>
          <w:p w:rsidR="00E503B3" w:rsidRPr="00E503B3" w:rsidRDefault="00E503B3" w:rsidP="00E503B3">
            <w:pPr>
              <w:jc w:val="right"/>
              <w:cnfStyle w:val="000000000000"/>
              <w:rPr>
                <w:rFonts w:ascii="Times New Roman" w:hAnsi="Times New Roman" w:cs="Times New Roman"/>
                <w:color w:val="000000"/>
                <w:sz w:val="18"/>
                <w:szCs w:val="18"/>
              </w:rPr>
            </w:pPr>
            <w:r w:rsidRPr="00E503B3">
              <w:rPr>
                <w:rFonts w:ascii="Times New Roman" w:hAnsi="Times New Roman" w:cs="Times New Roman"/>
                <w:color w:val="000000"/>
                <w:sz w:val="18"/>
                <w:szCs w:val="18"/>
              </w:rPr>
              <w:t>0.18</w:t>
            </w:r>
          </w:p>
        </w:tc>
        <w:tc>
          <w:tcPr>
            <w:tcW w:w="580" w:type="dxa"/>
            <w:shd w:val="clear" w:color="auto" w:fill="auto"/>
            <w:noWrap/>
            <w:vAlign w:val="bottom"/>
            <w:hideMark/>
          </w:tcPr>
          <w:p w:rsidR="00E503B3" w:rsidRPr="00E503B3" w:rsidRDefault="00E503B3" w:rsidP="00E503B3">
            <w:pPr>
              <w:jc w:val="right"/>
              <w:cnfStyle w:val="000000000000"/>
              <w:rPr>
                <w:rFonts w:ascii="Times New Roman" w:hAnsi="Times New Roman" w:cs="Times New Roman"/>
                <w:color w:val="000000"/>
                <w:sz w:val="18"/>
                <w:szCs w:val="18"/>
              </w:rPr>
            </w:pPr>
            <w:r w:rsidRPr="00E503B3">
              <w:rPr>
                <w:rFonts w:ascii="Times New Roman" w:hAnsi="Times New Roman" w:cs="Times New Roman"/>
                <w:color w:val="000000"/>
                <w:sz w:val="18"/>
                <w:szCs w:val="18"/>
              </w:rPr>
              <w:t>0.24</w:t>
            </w:r>
          </w:p>
        </w:tc>
        <w:tc>
          <w:tcPr>
            <w:tcW w:w="963" w:type="dxa"/>
            <w:shd w:val="clear" w:color="auto" w:fill="auto"/>
            <w:noWrap/>
            <w:vAlign w:val="bottom"/>
            <w:hideMark/>
          </w:tcPr>
          <w:p w:rsidR="00E503B3" w:rsidRPr="00E503B3" w:rsidRDefault="00E503B3" w:rsidP="00E503B3">
            <w:pPr>
              <w:jc w:val="right"/>
              <w:cnfStyle w:val="0000000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0.14</w:t>
            </w:r>
          </w:p>
        </w:tc>
        <w:tc>
          <w:tcPr>
            <w:tcW w:w="580" w:type="dxa"/>
            <w:shd w:val="clear" w:color="auto" w:fill="auto"/>
            <w:noWrap/>
            <w:vAlign w:val="bottom"/>
            <w:hideMark/>
          </w:tcPr>
          <w:p w:rsidR="00E503B3" w:rsidRPr="00E503B3" w:rsidRDefault="00E503B3" w:rsidP="00E503B3">
            <w:pPr>
              <w:jc w:val="right"/>
              <w:cnfStyle w:val="0000000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0.10</w:t>
            </w:r>
          </w:p>
        </w:tc>
        <w:tc>
          <w:tcPr>
            <w:tcW w:w="580" w:type="dxa"/>
            <w:shd w:val="clear" w:color="auto" w:fill="auto"/>
            <w:noWrap/>
            <w:vAlign w:val="bottom"/>
            <w:hideMark/>
          </w:tcPr>
          <w:p w:rsidR="00E503B3" w:rsidRPr="00E503B3" w:rsidRDefault="00E503B3" w:rsidP="00E503B3">
            <w:pPr>
              <w:jc w:val="right"/>
              <w:cnfStyle w:val="0000000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0.19</w:t>
            </w:r>
          </w:p>
        </w:tc>
        <w:tc>
          <w:tcPr>
            <w:tcW w:w="939" w:type="dxa"/>
            <w:shd w:val="clear" w:color="auto" w:fill="auto"/>
            <w:vAlign w:val="bottom"/>
          </w:tcPr>
          <w:p w:rsidR="00E503B3" w:rsidRPr="00E503B3" w:rsidRDefault="00E503B3" w:rsidP="00E503B3">
            <w:pPr>
              <w:jc w:val="right"/>
              <w:cnfStyle w:val="0000000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0.21</w:t>
            </w:r>
          </w:p>
        </w:tc>
        <w:tc>
          <w:tcPr>
            <w:tcW w:w="623" w:type="dxa"/>
            <w:shd w:val="clear" w:color="auto" w:fill="auto"/>
            <w:vAlign w:val="bottom"/>
          </w:tcPr>
          <w:p w:rsidR="00E503B3" w:rsidRPr="00E503B3" w:rsidRDefault="00E503B3" w:rsidP="00E503B3">
            <w:pPr>
              <w:jc w:val="right"/>
              <w:cnfStyle w:val="0000000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0.18</w:t>
            </w:r>
          </w:p>
        </w:tc>
        <w:tc>
          <w:tcPr>
            <w:tcW w:w="537" w:type="dxa"/>
            <w:shd w:val="clear" w:color="auto" w:fill="auto"/>
            <w:vAlign w:val="bottom"/>
          </w:tcPr>
          <w:p w:rsidR="00E503B3" w:rsidRPr="00E503B3" w:rsidRDefault="00E503B3" w:rsidP="00E503B3">
            <w:pPr>
              <w:jc w:val="right"/>
              <w:cnfStyle w:val="0000000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0.23</w:t>
            </w:r>
          </w:p>
        </w:tc>
      </w:tr>
      <w:tr w:rsidR="00E503B3" w:rsidRPr="00E503B3" w:rsidTr="00A74F09">
        <w:trPr>
          <w:cnfStyle w:val="000000100000"/>
          <w:trHeight w:val="300"/>
        </w:trPr>
        <w:tc>
          <w:tcPr>
            <w:cnfStyle w:val="001000000000"/>
            <w:tcW w:w="995" w:type="dxa"/>
            <w:tcBorders>
              <w:bottom w:val="nil"/>
            </w:tcBorders>
            <w:shd w:val="clear" w:color="auto" w:fill="auto"/>
            <w:vAlign w:val="bottom"/>
            <w:hideMark/>
          </w:tcPr>
          <w:p w:rsidR="00E503B3" w:rsidRPr="00E503B3" w:rsidRDefault="00E503B3" w:rsidP="00A74F09">
            <w:pPr>
              <w:rPr>
                <w:rFonts w:ascii="Times New Roman" w:eastAsia="Times New Roman" w:hAnsi="Times New Roman" w:cs="Times New Roman"/>
                <w:b w:val="0"/>
                <w:color w:val="000000"/>
                <w:sz w:val="18"/>
                <w:szCs w:val="18"/>
                <w:lang w:eastAsia="en-GB"/>
              </w:rPr>
            </w:pPr>
            <w:r w:rsidRPr="00E503B3">
              <w:rPr>
                <w:rFonts w:ascii="Times New Roman" w:eastAsia="Times New Roman" w:hAnsi="Times New Roman" w:cs="Times New Roman"/>
                <w:b w:val="0"/>
                <w:color w:val="000000"/>
                <w:sz w:val="18"/>
                <w:szCs w:val="18"/>
                <w:lang w:eastAsia="en-GB"/>
              </w:rPr>
              <w:t>Std Dev</w:t>
            </w:r>
          </w:p>
        </w:tc>
        <w:tc>
          <w:tcPr>
            <w:tcW w:w="900" w:type="dxa"/>
            <w:tcBorders>
              <w:bottom w:val="nil"/>
            </w:tcBorders>
            <w:shd w:val="clear" w:color="auto" w:fill="auto"/>
            <w:vAlign w:val="bottom"/>
            <w:hideMark/>
          </w:tcPr>
          <w:p w:rsidR="00E503B3" w:rsidRPr="00E503B3" w:rsidRDefault="00E503B3" w:rsidP="00E503B3">
            <w:pPr>
              <w:jc w:val="right"/>
              <w:cnfStyle w:val="000000100000"/>
              <w:rPr>
                <w:rFonts w:ascii="Times New Roman" w:hAnsi="Times New Roman" w:cs="Times New Roman"/>
                <w:color w:val="000000"/>
                <w:sz w:val="18"/>
                <w:szCs w:val="18"/>
              </w:rPr>
            </w:pPr>
            <w:r w:rsidRPr="00E503B3">
              <w:rPr>
                <w:rFonts w:ascii="Times New Roman" w:hAnsi="Times New Roman" w:cs="Times New Roman"/>
                <w:color w:val="000000"/>
                <w:sz w:val="18"/>
                <w:szCs w:val="18"/>
              </w:rPr>
              <w:t>3.32</w:t>
            </w:r>
          </w:p>
        </w:tc>
        <w:tc>
          <w:tcPr>
            <w:tcW w:w="668" w:type="dxa"/>
            <w:tcBorders>
              <w:bottom w:val="nil"/>
            </w:tcBorders>
            <w:shd w:val="clear" w:color="auto" w:fill="auto"/>
            <w:vAlign w:val="bottom"/>
            <w:hideMark/>
          </w:tcPr>
          <w:p w:rsidR="00E503B3" w:rsidRPr="00E503B3" w:rsidRDefault="00E503B3" w:rsidP="00E503B3">
            <w:pPr>
              <w:jc w:val="right"/>
              <w:cnfStyle w:val="000000100000"/>
              <w:rPr>
                <w:rFonts w:ascii="Times New Roman" w:hAnsi="Times New Roman" w:cs="Times New Roman"/>
                <w:color w:val="000000"/>
                <w:sz w:val="18"/>
                <w:szCs w:val="18"/>
              </w:rPr>
            </w:pPr>
            <w:r w:rsidRPr="00E503B3">
              <w:rPr>
                <w:rFonts w:ascii="Times New Roman" w:hAnsi="Times New Roman" w:cs="Times New Roman"/>
                <w:color w:val="000000"/>
                <w:sz w:val="18"/>
                <w:szCs w:val="18"/>
              </w:rPr>
              <w:t>-</w:t>
            </w:r>
          </w:p>
        </w:tc>
        <w:tc>
          <w:tcPr>
            <w:tcW w:w="668" w:type="dxa"/>
            <w:tcBorders>
              <w:bottom w:val="nil"/>
            </w:tcBorders>
            <w:shd w:val="clear" w:color="auto" w:fill="auto"/>
            <w:vAlign w:val="bottom"/>
            <w:hideMark/>
          </w:tcPr>
          <w:p w:rsidR="00E503B3" w:rsidRPr="00E503B3" w:rsidRDefault="00E503B3" w:rsidP="00E503B3">
            <w:pPr>
              <w:jc w:val="right"/>
              <w:cnfStyle w:val="000000100000"/>
              <w:rPr>
                <w:rFonts w:ascii="Times New Roman" w:hAnsi="Times New Roman" w:cs="Times New Roman"/>
                <w:color w:val="000000"/>
                <w:sz w:val="18"/>
                <w:szCs w:val="18"/>
              </w:rPr>
            </w:pPr>
            <w:r w:rsidRPr="00E503B3">
              <w:rPr>
                <w:rFonts w:ascii="Times New Roman" w:hAnsi="Times New Roman" w:cs="Times New Roman"/>
                <w:color w:val="000000"/>
                <w:sz w:val="18"/>
                <w:szCs w:val="18"/>
              </w:rPr>
              <w:t>-</w:t>
            </w:r>
          </w:p>
        </w:tc>
        <w:tc>
          <w:tcPr>
            <w:tcW w:w="963" w:type="dxa"/>
            <w:tcBorders>
              <w:bottom w:val="nil"/>
            </w:tcBorders>
            <w:shd w:val="clear" w:color="auto" w:fill="auto"/>
            <w:noWrap/>
            <w:vAlign w:val="bottom"/>
            <w:hideMark/>
          </w:tcPr>
          <w:p w:rsidR="00E503B3" w:rsidRPr="00E503B3" w:rsidRDefault="00E503B3" w:rsidP="00E503B3">
            <w:pPr>
              <w:jc w:val="right"/>
              <w:cnfStyle w:val="000000100000"/>
              <w:rPr>
                <w:rFonts w:ascii="Times New Roman" w:hAnsi="Times New Roman" w:cs="Times New Roman"/>
                <w:color w:val="000000"/>
                <w:sz w:val="18"/>
                <w:szCs w:val="18"/>
              </w:rPr>
            </w:pPr>
            <w:r w:rsidRPr="00E503B3">
              <w:rPr>
                <w:rFonts w:ascii="Times New Roman" w:hAnsi="Times New Roman" w:cs="Times New Roman"/>
                <w:color w:val="000000"/>
                <w:sz w:val="18"/>
                <w:szCs w:val="18"/>
              </w:rPr>
              <w:t>3.33</w:t>
            </w:r>
          </w:p>
        </w:tc>
        <w:tc>
          <w:tcPr>
            <w:tcW w:w="580" w:type="dxa"/>
            <w:tcBorders>
              <w:bottom w:val="nil"/>
            </w:tcBorders>
            <w:shd w:val="clear" w:color="auto" w:fill="auto"/>
            <w:noWrap/>
            <w:vAlign w:val="bottom"/>
            <w:hideMark/>
          </w:tcPr>
          <w:p w:rsidR="00E503B3" w:rsidRPr="00E503B3" w:rsidRDefault="00E503B3" w:rsidP="00E503B3">
            <w:pPr>
              <w:jc w:val="right"/>
              <w:cnfStyle w:val="000000100000"/>
              <w:rPr>
                <w:rFonts w:ascii="Times New Roman" w:hAnsi="Times New Roman" w:cs="Times New Roman"/>
                <w:color w:val="000000"/>
                <w:sz w:val="18"/>
                <w:szCs w:val="18"/>
              </w:rPr>
            </w:pPr>
            <w:r w:rsidRPr="00E503B3">
              <w:rPr>
                <w:rFonts w:ascii="Times New Roman" w:hAnsi="Times New Roman" w:cs="Times New Roman"/>
                <w:color w:val="000000"/>
                <w:sz w:val="18"/>
                <w:szCs w:val="18"/>
              </w:rPr>
              <w:t>-</w:t>
            </w:r>
          </w:p>
        </w:tc>
        <w:tc>
          <w:tcPr>
            <w:tcW w:w="580" w:type="dxa"/>
            <w:tcBorders>
              <w:bottom w:val="nil"/>
            </w:tcBorders>
            <w:shd w:val="clear" w:color="auto" w:fill="auto"/>
            <w:noWrap/>
            <w:vAlign w:val="bottom"/>
            <w:hideMark/>
          </w:tcPr>
          <w:p w:rsidR="00E503B3" w:rsidRPr="00E503B3" w:rsidRDefault="00E503B3" w:rsidP="00E503B3">
            <w:pPr>
              <w:jc w:val="right"/>
              <w:cnfStyle w:val="000000100000"/>
              <w:rPr>
                <w:rFonts w:ascii="Times New Roman" w:hAnsi="Times New Roman" w:cs="Times New Roman"/>
                <w:color w:val="000000"/>
                <w:sz w:val="18"/>
                <w:szCs w:val="18"/>
              </w:rPr>
            </w:pPr>
            <w:r w:rsidRPr="00E503B3">
              <w:rPr>
                <w:rFonts w:ascii="Times New Roman" w:hAnsi="Times New Roman" w:cs="Times New Roman"/>
                <w:color w:val="000000"/>
                <w:sz w:val="18"/>
                <w:szCs w:val="18"/>
              </w:rPr>
              <w:t>-</w:t>
            </w:r>
          </w:p>
        </w:tc>
        <w:tc>
          <w:tcPr>
            <w:tcW w:w="963" w:type="dxa"/>
            <w:tcBorders>
              <w:bottom w:val="nil"/>
            </w:tcBorders>
            <w:shd w:val="clear" w:color="auto" w:fill="auto"/>
            <w:noWrap/>
            <w:vAlign w:val="bottom"/>
            <w:hideMark/>
          </w:tcPr>
          <w:p w:rsidR="00E503B3" w:rsidRPr="00E503B3" w:rsidRDefault="00E503B3" w:rsidP="00E503B3">
            <w:pPr>
              <w:jc w:val="right"/>
              <w:cnfStyle w:val="0000001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11.89</w:t>
            </w:r>
          </w:p>
        </w:tc>
        <w:tc>
          <w:tcPr>
            <w:tcW w:w="580" w:type="dxa"/>
            <w:tcBorders>
              <w:bottom w:val="nil"/>
            </w:tcBorders>
            <w:shd w:val="clear" w:color="auto" w:fill="auto"/>
            <w:noWrap/>
            <w:vAlign w:val="bottom"/>
            <w:hideMark/>
          </w:tcPr>
          <w:p w:rsidR="00E503B3" w:rsidRPr="00E503B3" w:rsidRDefault="00E503B3" w:rsidP="00E503B3">
            <w:pPr>
              <w:jc w:val="right"/>
              <w:cnfStyle w:val="0000001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w:t>
            </w:r>
          </w:p>
        </w:tc>
        <w:tc>
          <w:tcPr>
            <w:tcW w:w="580" w:type="dxa"/>
            <w:tcBorders>
              <w:bottom w:val="nil"/>
            </w:tcBorders>
            <w:shd w:val="clear" w:color="auto" w:fill="auto"/>
            <w:noWrap/>
            <w:vAlign w:val="bottom"/>
            <w:hideMark/>
          </w:tcPr>
          <w:p w:rsidR="00E503B3" w:rsidRPr="00E503B3" w:rsidRDefault="00E503B3" w:rsidP="00E503B3">
            <w:pPr>
              <w:jc w:val="right"/>
              <w:cnfStyle w:val="0000001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w:t>
            </w:r>
          </w:p>
        </w:tc>
        <w:tc>
          <w:tcPr>
            <w:tcW w:w="939" w:type="dxa"/>
            <w:tcBorders>
              <w:bottom w:val="nil"/>
            </w:tcBorders>
            <w:shd w:val="clear" w:color="auto" w:fill="auto"/>
            <w:vAlign w:val="bottom"/>
          </w:tcPr>
          <w:p w:rsidR="00E503B3" w:rsidRPr="00E503B3" w:rsidRDefault="00E503B3" w:rsidP="00E503B3">
            <w:pPr>
              <w:jc w:val="right"/>
              <w:cnfStyle w:val="0000001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3.17</w:t>
            </w:r>
          </w:p>
        </w:tc>
        <w:tc>
          <w:tcPr>
            <w:tcW w:w="623" w:type="dxa"/>
            <w:tcBorders>
              <w:bottom w:val="nil"/>
            </w:tcBorders>
            <w:shd w:val="clear" w:color="auto" w:fill="auto"/>
            <w:vAlign w:val="bottom"/>
          </w:tcPr>
          <w:p w:rsidR="00E503B3" w:rsidRPr="00E503B3" w:rsidRDefault="00E503B3" w:rsidP="00E503B3">
            <w:pPr>
              <w:jc w:val="right"/>
              <w:cnfStyle w:val="0000001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w:t>
            </w:r>
          </w:p>
        </w:tc>
        <w:tc>
          <w:tcPr>
            <w:tcW w:w="537" w:type="dxa"/>
            <w:tcBorders>
              <w:bottom w:val="nil"/>
            </w:tcBorders>
            <w:shd w:val="clear" w:color="auto" w:fill="auto"/>
            <w:vAlign w:val="bottom"/>
          </w:tcPr>
          <w:p w:rsidR="00E503B3" w:rsidRPr="00E503B3" w:rsidRDefault="00E503B3" w:rsidP="00E503B3">
            <w:pPr>
              <w:jc w:val="right"/>
              <w:cnfStyle w:val="0000001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w:t>
            </w:r>
          </w:p>
        </w:tc>
      </w:tr>
      <w:tr w:rsidR="00E503B3" w:rsidRPr="00E503B3" w:rsidTr="00A74F09">
        <w:trPr>
          <w:trHeight w:val="300"/>
        </w:trPr>
        <w:tc>
          <w:tcPr>
            <w:cnfStyle w:val="001000000000"/>
            <w:tcW w:w="995" w:type="dxa"/>
            <w:tcBorders>
              <w:top w:val="nil"/>
              <w:bottom w:val="single" w:sz="4" w:space="0" w:color="auto"/>
            </w:tcBorders>
            <w:shd w:val="clear" w:color="auto" w:fill="auto"/>
            <w:vAlign w:val="bottom"/>
            <w:hideMark/>
          </w:tcPr>
          <w:p w:rsidR="00E503B3" w:rsidRPr="00E503B3" w:rsidRDefault="00E503B3" w:rsidP="00A74F09">
            <w:pPr>
              <w:rPr>
                <w:rFonts w:ascii="Times New Roman" w:eastAsia="Times New Roman" w:hAnsi="Times New Roman" w:cs="Times New Roman"/>
                <w:b w:val="0"/>
                <w:color w:val="000000"/>
                <w:sz w:val="18"/>
                <w:szCs w:val="18"/>
                <w:lang w:eastAsia="en-GB"/>
              </w:rPr>
            </w:pPr>
            <w:r w:rsidRPr="00E503B3">
              <w:rPr>
                <w:rFonts w:ascii="Times New Roman" w:eastAsia="Times New Roman" w:hAnsi="Times New Roman" w:cs="Times New Roman"/>
                <w:b w:val="0"/>
                <w:color w:val="000000"/>
                <w:sz w:val="18"/>
                <w:szCs w:val="18"/>
                <w:lang w:eastAsia="en-GB"/>
              </w:rPr>
              <w:t>Variance</w:t>
            </w:r>
          </w:p>
        </w:tc>
        <w:tc>
          <w:tcPr>
            <w:tcW w:w="900" w:type="dxa"/>
            <w:tcBorders>
              <w:top w:val="nil"/>
              <w:bottom w:val="single" w:sz="4" w:space="0" w:color="auto"/>
            </w:tcBorders>
            <w:shd w:val="clear" w:color="auto" w:fill="auto"/>
            <w:vAlign w:val="bottom"/>
            <w:hideMark/>
          </w:tcPr>
          <w:p w:rsidR="00E503B3" w:rsidRPr="00E503B3" w:rsidRDefault="00E503B3" w:rsidP="00E503B3">
            <w:pPr>
              <w:jc w:val="right"/>
              <w:cnfStyle w:val="000000000000"/>
              <w:rPr>
                <w:rFonts w:ascii="Times New Roman" w:hAnsi="Times New Roman" w:cs="Times New Roman"/>
                <w:color w:val="000000"/>
                <w:sz w:val="18"/>
                <w:szCs w:val="18"/>
              </w:rPr>
            </w:pPr>
            <w:r w:rsidRPr="00E503B3">
              <w:rPr>
                <w:rFonts w:ascii="Times New Roman" w:hAnsi="Times New Roman" w:cs="Times New Roman"/>
                <w:color w:val="000000"/>
                <w:sz w:val="18"/>
                <w:szCs w:val="18"/>
              </w:rPr>
              <w:t>11.02</w:t>
            </w:r>
          </w:p>
        </w:tc>
        <w:tc>
          <w:tcPr>
            <w:tcW w:w="668" w:type="dxa"/>
            <w:tcBorders>
              <w:top w:val="nil"/>
              <w:bottom w:val="single" w:sz="4" w:space="0" w:color="auto"/>
            </w:tcBorders>
            <w:shd w:val="clear" w:color="auto" w:fill="auto"/>
            <w:vAlign w:val="bottom"/>
            <w:hideMark/>
          </w:tcPr>
          <w:p w:rsidR="00E503B3" w:rsidRPr="00E503B3" w:rsidRDefault="00E503B3" w:rsidP="00E503B3">
            <w:pPr>
              <w:jc w:val="right"/>
              <w:cnfStyle w:val="000000000000"/>
              <w:rPr>
                <w:rFonts w:ascii="Times New Roman" w:hAnsi="Times New Roman" w:cs="Times New Roman"/>
                <w:color w:val="000000"/>
                <w:sz w:val="18"/>
                <w:szCs w:val="18"/>
              </w:rPr>
            </w:pPr>
            <w:r w:rsidRPr="00E503B3">
              <w:rPr>
                <w:rFonts w:ascii="Times New Roman" w:hAnsi="Times New Roman" w:cs="Times New Roman"/>
                <w:color w:val="000000"/>
                <w:sz w:val="18"/>
                <w:szCs w:val="18"/>
              </w:rPr>
              <w:t>-</w:t>
            </w:r>
          </w:p>
        </w:tc>
        <w:tc>
          <w:tcPr>
            <w:tcW w:w="668" w:type="dxa"/>
            <w:tcBorders>
              <w:top w:val="nil"/>
              <w:bottom w:val="single" w:sz="4" w:space="0" w:color="auto"/>
            </w:tcBorders>
            <w:shd w:val="clear" w:color="auto" w:fill="auto"/>
            <w:vAlign w:val="bottom"/>
            <w:hideMark/>
          </w:tcPr>
          <w:p w:rsidR="00E503B3" w:rsidRPr="00E503B3" w:rsidRDefault="00E503B3" w:rsidP="00E503B3">
            <w:pPr>
              <w:jc w:val="right"/>
              <w:cnfStyle w:val="000000000000"/>
              <w:rPr>
                <w:rFonts w:ascii="Times New Roman" w:hAnsi="Times New Roman" w:cs="Times New Roman"/>
                <w:color w:val="000000"/>
                <w:sz w:val="18"/>
                <w:szCs w:val="18"/>
              </w:rPr>
            </w:pPr>
            <w:r w:rsidRPr="00E503B3">
              <w:rPr>
                <w:rFonts w:ascii="Times New Roman" w:hAnsi="Times New Roman" w:cs="Times New Roman"/>
                <w:color w:val="000000"/>
                <w:sz w:val="18"/>
                <w:szCs w:val="18"/>
              </w:rPr>
              <w:t>-</w:t>
            </w:r>
          </w:p>
        </w:tc>
        <w:tc>
          <w:tcPr>
            <w:tcW w:w="963" w:type="dxa"/>
            <w:tcBorders>
              <w:top w:val="nil"/>
              <w:bottom w:val="single" w:sz="4" w:space="0" w:color="auto"/>
            </w:tcBorders>
            <w:shd w:val="clear" w:color="auto" w:fill="auto"/>
            <w:noWrap/>
            <w:vAlign w:val="bottom"/>
            <w:hideMark/>
          </w:tcPr>
          <w:p w:rsidR="00E503B3" w:rsidRPr="00E503B3" w:rsidRDefault="00E503B3" w:rsidP="00E503B3">
            <w:pPr>
              <w:jc w:val="right"/>
              <w:cnfStyle w:val="000000000000"/>
              <w:rPr>
                <w:rFonts w:ascii="Times New Roman" w:hAnsi="Times New Roman" w:cs="Times New Roman"/>
                <w:color w:val="000000"/>
                <w:sz w:val="18"/>
                <w:szCs w:val="18"/>
              </w:rPr>
            </w:pPr>
            <w:r w:rsidRPr="00E503B3">
              <w:rPr>
                <w:rFonts w:ascii="Times New Roman" w:hAnsi="Times New Roman" w:cs="Times New Roman"/>
                <w:color w:val="000000"/>
                <w:sz w:val="18"/>
                <w:szCs w:val="18"/>
              </w:rPr>
              <w:t>11.10</w:t>
            </w:r>
          </w:p>
        </w:tc>
        <w:tc>
          <w:tcPr>
            <w:tcW w:w="580" w:type="dxa"/>
            <w:tcBorders>
              <w:top w:val="nil"/>
              <w:bottom w:val="single" w:sz="4" w:space="0" w:color="auto"/>
            </w:tcBorders>
            <w:shd w:val="clear" w:color="auto" w:fill="auto"/>
            <w:noWrap/>
            <w:vAlign w:val="bottom"/>
            <w:hideMark/>
          </w:tcPr>
          <w:p w:rsidR="00E503B3" w:rsidRPr="00E503B3" w:rsidRDefault="00E503B3" w:rsidP="00E503B3">
            <w:pPr>
              <w:jc w:val="right"/>
              <w:cnfStyle w:val="000000000000"/>
              <w:rPr>
                <w:rFonts w:ascii="Times New Roman" w:hAnsi="Times New Roman" w:cs="Times New Roman"/>
                <w:color w:val="000000"/>
                <w:sz w:val="18"/>
                <w:szCs w:val="18"/>
              </w:rPr>
            </w:pPr>
            <w:r w:rsidRPr="00E503B3">
              <w:rPr>
                <w:rFonts w:ascii="Times New Roman" w:hAnsi="Times New Roman" w:cs="Times New Roman"/>
                <w:color w:val="000000"/>
                <w:sz w:val="18"/>
                <w:szCs w:val="18"/>
              </w:rPr>
              <w:t>-</w:t>
            </w:r>
          </w:p>
        </w:tc>
        <w:tc>
          <w:tcPr>
            <w:tcW w:w="580" w:type="dxa"/>
            <w:tcBorders>
              <w:top w:val="nil"/>
              <w:bottom w:val="single" w:sz="4" w:space="0" w:color="auto"/>
            </w:tcBorders>
            <w:shd w:val="clear" w:color="auto" w:fill="auto"/>
            <w:noWrap/>
            <w:vAlign w:val="bottom"/>
            <w:hideMark/>
          </w:tcPr>
          <w:p w:rsidR="00E503B3" w:rsidRPr="00E503B3" w:rsidRDefault="00E503B3" w:rsidP="00E503B3">
            <w:pPr>
              <w:jc w:val="right"/>
              <w:cnfStyle w:val="000000000000"/>
              <w:rPr>
                <w:rFonts w:ascii="Times New Roman" w:hAnsi="Times New Roman" w:cs="Times New Roman"/>
                <w:color w:val="000000"/>
                <w:sz w:val="18"/>
                <w:szCs w:val="18"/>
              </w:rPr>
            </w:pPr>
            <w:r w:rsidRPr="00E503B3">
              <w:rPr>
                <w:rFonts w:ascii="Times New Roman" w:hAnsi="Times New Roman" w:cs="Times New Roman"/>
                <w:color w:val="000000"/>
                <w:sz w:val="18"/>
                <w:szCs w:val="18"/>
              </w:rPr>
              <w:t>-</w:t>
            </w:r>
          </w:p>
        </w:tc>
        <w:tc>
          <w:tcPr>
            <w:tcW w:w="963" w:type="dxa"/>
            <w:tcBorders>
              <w:top w:val="nil"/>
              <w:bottom w:val="single" w:sz="4" w:space="0" w:color="auto"/>
            </w:tcBorders>
            <w:shd w:val="clear" w:color="auto" w:fill="auto"/>
            <w:noWrap/>
            <w:vAlign w:val="bottom"/>
            <w:hideMark/>
          </w:tcPr>
          <w:p w:rsidR="00E503B3" w:rsidRPr="00E503B3" w:rsidRDefault="00E503B3" w:rsidP="00E503B3">
            <w:pPr>
              <w:jc w:val="right"/>
              <w:cnfStyle w:val="0000000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141.38</w:t>
            </w:r>
          </w:p>
        </w:tc>
        <w:tc>
          <w:tcPr>
            <w:tcW w:w="580" w:type="dxa"/>
            <w:tcBorders>
              <w:top w:val="nil"/>
              <w:bottom w:val="single" w:sz="4" w:space="0" w:color="auto"/>
            </w:tcBorders>
            <w:shd w:val="clear" w:color="auto" w:fill="auto"/>
            <w:noWrap/>
            <w:vAlign w:val="bottom"/>
            <w:hideMark/>
          </w:tcPr>
          <w:p w:rsidR="00E503B3" w:rsidRPr="00E503B3" w:rsidRDefault="00E503B3" w:rsidP="00E503B3">
            <w:pPr>
              <w:jc w:val="right"/>
              <w:cnfStyle w:val="0000000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w:t>
            </w:r>
          </w:p>
        </w:tc>
        <w:tc>
          <w:tcPr>
            <w:tcW w:w="580" w:type="dxa"/>
            <w:tcBorders>
              <w:top w:val="nil"/>
              <w:bottom w:val="single" w:sz="4" w:space="0" w:color="auto"/>
            </w:tcBorders>
            <w:shd w:val="clear" w:color="auto" w:fill="auto"/>
            <w:noWrap/>
            <w:vAlign w:val="bottom"/>
            <w:hideMark/>
          </w:tcPr>
          <w:p w:rsidR="00E503B3" w:rsidRPr="00E503B3" w:rsidRDefault="00E503B3" w:rsidP="00E503B3">
            <w:pPr>
              <w:jc w:val="right"/>
              <w:cnfStyle w:val="0000000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w:t>
            </w:r>
          </w:p>
        </w:tc>
        <w:tc>
          <w:tcPr>
            <w:tcW w:w="939" w:type="dxa"/>
            <w:tcBorders>
              <w:top w:val="nil"/>
              <w:bottom w:val="single" w:sz="4" w:space="0" w:color="auto"/>
            </w:tcBorders>
            <w:shd w:val="clear" w:color="auto" w:fill="auto"/>
            <w:vAlign w:val="bottom"/>
          </w:tcPr>
          <w:p w:rsidR="00E503B3" w:rsidRPr="00E503B3" w:rsidRDefault="00E503B3" w:rsidP="00E503B3">
            <w:pPr>
              <w:jc w:val="right"/>
              <w:cnfStyle w:val="0000000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10.05</w:t>
            </w:r>
          </w:p>
        </w:tc>
        <w:tc>
          <w:tcPr>
            <w:tcW w:w="623" w:type="dxa"/>
            <w:tcBorders>
              <w:top w:val="nil"/>
              <w:bottom w:val="single" w:sz="4" w:space="0" w:color="auto"/>
            </w:tcBorders>
            <w:shd w:val="clear" w:color="auto" w:fill="auto"/>
            <w:vAlign w:val="bottom"/>
          </w:tcPr>
          <w:p w:rsidR="00E503B3" w:rsidRPr="00E503B3" w:rsidRDefault="00E503B3" w:rsidP="00E503B3">
            <w:pPr>
              <w:jc w:val="right"/>
              <w:cnfStyle w:val="0000000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w:t>
            </w:r>
          </w:p>
        </w:tc>
        <w:tc>
          <w:tcPr>
            <w:tcW w:w="537" w:type="dxa"/>
            <w:tcBorders>
              <w:top w:val="nil"/>
              <w:bottom w:val="single" w:sz="4" w:space="0" w:color="auto"/>
            </w:tcBorders>
            <w:shd w:val="clear" w:color="auto" w:fill="auto"/>
            <w:vAlign w:val="bottom"/>
          </w:tcPr>
          <w:p w:rsidR="00E503B3" w:rsidRPr="00E503B3" w:rsidRDefault="00E503B3" w:rsidP="00E503B3">
            <w:pPr>
              <w:jc w:val="right"/>
              <w:cnfStyle w:val="000000000000"/>
              <w:rPr>
                <w:rFonts w:ascii="Times New Roman" w:eastAsia="Times New Roman" w:hAnsi="Times New Roman" w:cs="Times New Roman"/>
                <w:color w:val="000000"/>
                <w:sz w:val="18"/>
                <w:szCs w:val="18"/>
                <w:lang w:eastAsia="en-GB"/>
              </w:rPr>
            </w:pPr>
            <w:r w:rsidRPr="00E503B3">
              <w:rPr>
                <w:rFonts w:ascii="Times New Roman" w:eastAsia="Times New Roman" w:hAnsi="Times New Roman" w:cs="Times New Roman"/>
                <w:color w:val="000000"/>
                <w:sz w:val="18"/>
                <w:szCs w:val="18"/>
                <w:lang w:eastAsia="en-GB"/>
              </w:rPr>
              <w:t>-</w:t>
            </w:r>
          </w:p>
        </w:tc>
      </w:tr>
    </w:tbl>
    <w:p w:rsidR="00E10BC1" w:rsidRDefault="00E10BC1" w:rsidP="00307EB9">
      <w:pPr>
        <w:spacing w:after="0" w:line="240" w:lineRule="auto"/>
        <w:rPr>
          <w:rFonts w:ascii="Times New Roman" w:hAnsi="Times New Roman" w:cs="Times New Roman"/>
          <w:color w:val="000000"/>
          <w:sz w:val="20"/>
          <w:szCs w:val="20"/>
        </w:rPr>
      </w:pPr>
    </w:p>
    <w:p w:rsidR="00E503B3" w:rsidRDefault="00E503B3" w:rsidP="00307EB9">
      <w:pPr>
        <w:spacing w:after="0" w:line="240" w:lineRule="auto"/>
        <w:rPr>
          <w:rFonts w:ascii="Times New Roman" w:hAnsi="Times New Roman" w:cs="Times New Roman"/>
          <w:color w:val="000000"/>
          <w:sz w:val="20"/>
          <w:szCs w:val="20"/>
        </w:rPr>
      </w:pPr>
    </w:p>
    <w:p w:rsidR="00927C8A" w:rsidRDefault="00927C8A" w:rsidP="00307EB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distributional accuracy for both conditions was also </w:t>
      </w:r>
      <w:r w:rsidR="007F3BDD">
        <w:rPr>
          <w:rFonts w:ascii="Times New Roman" w:hAnsi="Times New Roman" w:cs="Times New Roman"/>
          <w:color w:val="000000"/>
          <w:sz w:val="20"/>
          <w:szCs w:val="20"/>
        </w:rPr>
        <w:t>higher</w:t>
      </w:r>
      <w:r>
        <w:rPr>
          <w:rFonts w:ascii="Times New Roman" w:hAnsi="Times New Roman" w:cs="Times New Roman"/>
          <w:color w:val="000000"/>
          <w:sz w:val="20"/>
          <w:szCs w:val="20"/>
        </w:rPr>
        <w:t xml:space="preserve"> than the no </w:t>
      </w:r>
      <w:r w:rsidR="004A3C10">
        <w:rPr>
          <w:rFonts w:ascii="Times New Roman" w:hAnsi="Times New Roman" w:cs="Times New Roman"/>
          <w:color w:val="000000"/>
          <w:sz w:val="20"/>
          <w:szCs w:val="20"/>
        </w:rPr>
        <w:t xml:space="preserve">administrative </w:t>
      </w:r>
      <w:r w:rsidR="00BF335C">
        <w:rPr>
          <w:rFonts w:ascii="Times New Roman" w:hAnsi="Times New Roman" w:cs="Times New Roman"/>
          <w:color w:val="000000"/>
          <w:sz w:val="20"/>
          <w:szCs w:val="20"/>
        </w:rPr>
        <w:t xml:space="preserve">condition, with RMSE figures of 21.7 and 21.4 for the PR and CIS conditions respectively, compared with 25.3 for the no </w:t>
      </w:r>
      <w:r w:rsidR="004A3C10">
        <w:rPr>
          <w:rFonts w:ascii="Times New Roman" w:hAnsi="Times New Roman" w:cs="Times New Roman"/>
          <w:color w:val="000000"/>
          <w:sz w:val="20"/>
          <w:szCs w:val="20"/>
        </w:rPr>
        <w:t xml:space="preserve">administrative </w:t>
      </w:r>
      <w:r w:rsidR="00BF335C">
        <w:rPr>
          <w:rFonts w:ascii="Times New Roman" w:hAnsi="Times New Roman" w:cs="Times New Roman"/>
          <w:color w:val="000000"/>
          <w:sz w:val="20"/>
          <w:szCs w:val="20"/>
        </w:rPr>
        <w:t>condition.</w:t>
      </w:r>
    </w:p>
    <w:p w:rsidR="00C458D1" w:rsidRDefault="00C458D1" w:rsidP="00307EB9">
      <w:pPr>
        <w:spacing w:after="0" w:line="240" w:lineRule="auto"/>
        <w:rPr>
          <w:rFonts w:ascii="Times New Roman" w:hAnsi="Times New Roman" w:cs="Times New Roman"/>
          <w:color w:val="000000"/>
          <w:sz w:val="20"/>
          <w:szCs w:val="20"/>
        </w:rPr>
      </w:pPr>
    </w:p>
    <w:p w:rsidR="004B7C9B" w:rsidRDefault="00C458D1" w:rsidP="004B7C9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results </w:t>
      </w:r>
      <w:r w:rsidR="007F3BDD">
        <w:rPr>
          <w:rFonts w:ascii="Times New Roman" w:hAnsi="Times New Roman" w:cs="Times New Roman"/>
          <w:color w:val="000000"/>
          <w:sz w:val="20"/>
          <w:szCs w:val="20"/>
        </w:rPr>
        <w:t xml:space="preserve">therefore </w:t>
      </w:r>
      <w:r>
        <w:rPr>
          <w:rFonts w:ascii="Times New Roman" w:hAnsi="Times New Roman" w:cs="Times New Roman"/>
          <w:color w:val="000000"/>
          <w:sz w:val="20"/>
          <w:szCs w:val="20"/>
        </w:rPr>
        <w:t>show that it is possible for administr</w:t>
      </w:r>
      <w:r w:rsidR="004F7FB7">
        <w:rPr>
          <w:rFonts w:ascii="Times New Roman" w:hAnsi="Times New Roman" w:cs="Times New Roman"/>
          <w:color w:val="000000"/>
          <w:sz w:val="20"/>
          <w:szCs w:val="20"/>
        </w:rPr>
        <w:t>ative data to improve the</w:t>
      </w:r>
      <w:r>
        <w:rPr>
          <w:rFonts w:ascii="Times New Roman" w:hAnsi="Times New Roman" w:cs="Times New Roman"/>
          <w:color w:val="000000"/>
          <w:sz w:val="20"/>
          <w:szCs w:val="20"/>
        </w:rPr>
        <w:t xml:space="preserve"> accuracy</w:t>
      </w:r>
      <w:r w:rsidR="004F7FB7">
        <w:rPr>
          <w:rFonts w:ascii="Times New Roman" w:hAnsi="Times New Roman" w:cs="Times New Roman"/>
          <w:color w:val="000000"/>
          <w:sz w:val="20"/>
          <w:szCs w:val="20"/>
        </w:rPr>
        <w:t xml:space="preserve"> of imputation estimates</w:t>
      </w:r>
      <w:r>
        <w:rPr>
          <w:rFonts w:ascii="Times New Roman" w:hAnsi="Times New Roman" w:cs="Times New Roman"/>
          <w:color w:val="000000"/>
          <w:sz w:val="20"/>
          <w:szCs w:val="20"/>
        </w:rPr>
        <w:t xml:space="preserve"> </w:t>
      </w:r>
      <w:r w:rsidR="0098405D">
        <w:rPr>
          <w:rFonts w:ascii="Times New Roman" w:hAnsi="Times New Roman" w:cs="Times New Roman"/>
          <w:color w:val="000000"/>
          <w:sz w:val="20"/>
          <w:szCs w:val="20"/>
        </w:rPr>
        <w:t>for</w:t>
      </w:r>
      <w:r>
        <w:rPr>
          <w:rFonts w:ascii="Times New Roman" w:hAnsi="Times New Roman" w:cs="Times New Roman"/>
          <w:color w:val="000000"/>
          <w:sz w:val="20"/>
          <w:szCs w:val="20"/>
        </w:rPr>
        <w:t xml:space="preserve"> age under certain conditions</w:t>
      </w:r>
      <w:r w:rsidR="00CD2618">
        <w:rPr>
          <w:rFonts w:ascii="Times New Roman" w:hAnsi="Times New Roman" w:cs="Times New Roman"/>
          <w:color w:val="000000"/>
          <w:sz w:val="20"/>
          <w:szCs w:val="20"/>
        </w:rPr>
        <w:t xml:space="preserve"> and that readily available </w:t>
      </w:r>
      <w:r w:rsidR="004A3C10">
        <w:rPr>
          <w:rFonts w:ascii="Times New Roman" w:hAnsi="Times New Roman" w:cs="Times New Roman"/>
          <w:color w:val="000000"/>
          <w:sz w:val="20"/>
          <w:szCs w:val="20"/>
        </w:rPr>
        <w:t xml:space="preserve">administrative </w:t>
      </w:r>
      <w:r w:rsidR="00CD2618">
        <w:rPr>
          <w:rFonts w:ascii="Times New Roman" w:hAnsi="Times New Roman" w:cs="Times New Roman"/>
          <w:color w:val="000000"/>
          <w:sz w:val="20"/>
          <w:szCs w:val="20"/>
        </w:rPr>
        <w:t>datasets appear to be of sufficiently high quality to be able to deliver this improvement</w:t>
      </w:r>
      <w:r w:rsidR="004B7C9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4B7C9B">
        <w:rPr>
          <w:rFonts w:ascii="Times New Roman" w:hAnsi="Times New Roman" w:cs="Times New Roman"/>
          <w:color w:val="000000"/>
          <w:sz w:val="20"/>
          <w:szCs w:val="20"/>
        </w:rPr>
        <w:t>The nearest neighbour minimum change methodology</w:t>
      </w:r>
      <w:r w:rsidR="00304EB2">
        <w:rPr>
          <w:rFonts w:ascii="Times New Roman" w:hAnsi="Times New Roman" w:cs="Times New Roman"/>
          <w:color w:val="000000"/>
          <w:sz w:val="20"/>
          <w:szCs w:val="20"/>
        </w:rPr>
        <w:t xml:space="preserve"> implemented in CANCEIS</w:t>
      </w:r>
      <w:r w:rsidR="004B7C9B">
        <w:rPr>
          <w:rFonts w:ascii="Times New Roman" w:hAnsi="Times New Roman" w:cs="Times New Roman"/>
          <w:color w:val="000000"/>
          <w:sz w:val="20"/>
          <w:szCs w:val="20"/>
        </w:rPr>
        <w:t xml:space="preserve"> also ensured that</w:t>
      </w:r>
      <w:r w:rsidR="007F3BDD">
        <w:rPr>
          <w:rFonts w:ascii="Times New Roman" w:hAnsi="Times New Roman" w:cs="Times New Roman"/>
          <w:color w:val="000000"/>
          <w:sz w:val="20"/>
          <w:szCs w:val="20"/>
        </w:rPr>
        <w:t>,</w:t>
      </w:r>
      <w:r w:rsidR="004B7C9B">
        <w:rPr>
          <w:rFonts w:ascii="Times New Roman" w:hAnsi="Times New Roman" w:cs="Times New Roman"/>
          <w:color w:val="000000"/>
          <w:sz w:val="20"/>
          <w:szCs w:val="20"/>
        </w:rPr>
        <w:t xml:space="preserve"> where the </w:t>
      </w:r>
      <w:r w:rsidR="004A3C10">
        <w:rPr>
          <w:rFonts w:ascii="Times New Roman" w:hAnsi="Times New Roman" w:cs="Times New Roman"/>
          <w:color w:val="000000"/>
          <w:sz w:val="20"/>
          <w:szCs w:val="20"/>
        </w:rPr>
        <w:t xml:space="preserve">administrative </w:t>
      </w:r>
      <w:r w:rsidR="004B7C9B">
        <w:rPr>
          <w:rFonts w:ascii="Times New Roman" w:hAnsi="Times New Roman" w:cs="Times New Roman"/>
          <w:color w:val="000000"/>
          <w:sz w:val="20"/>
          <w:szCs w:val="20"/>
        </w:rPr>
        <w:t>data was so erroneous as to be inconsistent with the observed data, consistency was maintained over matching</w:t>
      </w:r>
      <w:r w:rsidR="00BB1918">
        <w:rPr>
          <w:rFonts w:ascii="Times New Roman" w:hAnsi="Times New Roman" w:cs="Times New Roman"/>
          <w:color w:val="000000"/>
          <w:sz w:val="20"/>
          <w:szCs w:val="20"/>
        </w:rPr>
        <w:t xml:space="preserve"> closely</w:t>
      </w:r>
      <w:r w:rsidR="004B7C9B">
        <w:rPr>
          <w:rFonts w:ascii="Times New Roman" w:hAnsi="Times New Roman" w:cs="Times New Roman"/>
          <w:color w:val="000000"/>
          <w:sz w:val="20"/>
          <w:szCs w:val="20"/>
        </w:rPr>
        <w:t xml:space="preserve"> on the admin age variable. This effectively protected the observed census data from </w:t>
      </w:r>
      <w:r w:rsidR="006160E6">
        <w:rPr>
          <w:rFonts w:ascii="Times New Roman" w:hAnsi="Times New Roman" w:cs="Times New Roman"/>
          <w:color w:val="000000"/>
          <w:sz w:val="20"/>
          <w:szCs w:val="20"/>
        </w:rPr>
        <w:t>high levels of</w:t>
      </w:r>
      <w:r w:rsidR="004B7C9B">
        <w:rPr>
          <w:rFonts w:ascii="Times New Roman" w:hAnsi="Times New Roman" w:cs="Times New Roman"/>
          <w:color w:val="000000"/>
          <w:sz w:val="20"/>
          <w:szCs w:val="20"/>
        </w:rPr>
        <w:t xml:space="preserve"> error in the </w:t>
      </w:r>
      <w:r w:rsidR="004A3C10">
        <w:rPr>
          <w:rFonts w:ascii="Times New Roman" w:hAnsi="Times New Roman" w:cs="Times New Roman"/>
          <w:color w:val="000000"/>
          <w:sz w:val="20"/>
          <w:szCs w:val="20"/>
        </w:rPr>
        <w:t xml:space="preserve">administrative </w:t>
      </w:r>
      <w:r w:rsidR="004B7C9B">
        <w:rPr>
          <w:rFonts w:ascii="Times New Roman" w:hAnsi="Times New Roman" w:cs="Times New Roman"/>
          <w:color w:val="000000"/>
          <w:sz w:val="20"/>
          <w:szCs w:val="20"/>
        </w:rPr>
        <w:t>data, demonstrating a clear advantage over alternative direct substitution methods.</w:t>
      </w:r>
    </w:p>
    <w:p w:rsidR="00A1715B" w:rsidRDefault="00E5317A" w:rsidP="004B7C9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Going forward, t</w:t>
      </w:r>
      <w:r w:rsidR="00A1715B">
        <w:rPr>
          <w:rFonts w:ascii="Times New Roman" w:hAnsi="Times New Roman" w:cs="Times New Roman"/>
          <w:color w:val="000000"/>
          <w:sz w:val="20"/>
          <w:szCs w:val="20"/>
        </w:rPr>
        <w:t xml:space="preserve">he insight gained from this research can be used to evaluate </w:t>
      </w:r>
      <w:r>
        <w:rPr>
          <w:rFonts w:ascii="Times New Roman" w:hAnsi="Times New Roman" w:cs="Times New Roman"/>
          <w:color w:val="000000"/>
          <w:sz w:val="20"/>
          <w:szCs w:val="20"/>
        </w:rPr>
        <w:t xml:space="preserve">other potential </w:t>
      </w:r>
      <w:r w:rsidR="004A3C10">
        <w:rPr>
          <w:rFonts w:ascii="Times New Roman" w:hAnsi="Times New Roman" w:cs="Times New Roman"/>
          <w:color w:val="000000"/>
          <w:sz w:val="20"/>
          <w:szCs w:val="20"/>
        </w:rPr>
        <w:t xml:space="preserve">administrative </w:t>
      </w:r>
      <w:r>
        <w:rPr>
          <w:rFonts w:ascii="Times New Roman" w:hAnsi="Times New Roman" w:cs="Times New Roman"/>
          <w:color w:val="000000"/>
          <w:sz w:val="20"/>
          <w:szCs w:val="20"/>
        </w:rPr>
        <w:t>datasets</w:t>
      </w:r>
      <w:r w:rsidR="00932EE4">
        <w:rPr>
          <w:rFonts w:ascii="Times New Roman" w:hAnsi="Times New Roman" w:cs="Times New Roman"/>
          <w:color w:val="000000"/>
          <w:sz w:val="20"/>
          <w:szCs w:val="20"/>
        </w:rPr>
        <w:t xml:space="preserve"> and </w:t>
      </w:r>
      <w:r w:rsidR="00645207">
        <w:rPr>
          <w:rFonts w:ascii="Times New Roman" w:hAnsi="Times New Roman" w:cs="Times New Roman"/>
          <w:color w:val="000000"/>
          <w:sz w:val="20"/>
          <w:szCs w:val="20"/>
        </w:rPr>
        <w:t xml:space="preserve">other variables that </w:t>
      </w:r>
      <w:r w:rsidR="00460A7F">
        <w:rPr>
          <w:rFonts w:ascii="Times New Roman" w:hAnsi="Times New Roman" w:cs="Times New Roman"/>
          <w:color w:val="000000"/>
          <w:sz w:val="20"/>
          <w:szCs w:val="20"/>
        </w:rPr>
        <w:t xml:space="preserve">had higher imputation rates in the 2011 Census </w:t>
      </w:r>
      <w:r w:rsidR="00AB7DDD">
        <w:rPr>
          <w:rFonts w:ascii="Times New Roman" w:hAnsi="Times New Roman" w:cs="Times New Roman"/>
          <w:color w:val="000000"/>
          <w:sz w:val="20"/>
          <w:szCs w:val="20"/>
        </w:rPr>
        <w:t>but</w:t>
      </w:r>
      <w:r w:rsidR="00460A7F">
        <w:rPr>
          <w:rFonts w:ascii="Times New Roman" w:hAnsi="Times New Roman" w:cs="Times New Roman"/>
          <w:color w:val="000000"/>
          <w:sz w:val="20"/>
          <w:szCs w:val="20"/>
        </w:rPr>
        <w:t xml:space="preserve"> may be less reliable in </w:t>
      </w:r>
      <w:r w:rsidR="004A3C10">
        <w:rPr>
          <w:rFonts w:ascii="Times New Roman" w:hAnsi="Times New Roman" w:cs="Times New Roman"/>
          <w:color w:val="000000"/>
          <w:sz w:val="20"/>
          <w:szCs w:val="20"/>
        </w:rPr>
        <w:t xml:space="preserve">administrative </w:t>
      </w:r>
      <w:r w:rsidR="00460A7F">
        <w:rPr>
          <w:rFonts w:ascii="Times New Roman" w:hAnsi="Times New Roman" w:cs="Times New Roman"/>
          <w:color w:val="000000"/>
          <w:sz w:val="20"/>
          <w:szCs w:val="20"/>
        </w:rPr>
        <w:t>sources.</w:t>
      </w:r>
      <w:r w:rsidR="00E0134A">
        <w:rPr>
          <w:rFonts w:ascii="Times New Roman" w:hAnsi="Times New Roman" w:cs="Times New Roman"/>
          <w:color w:val="000000"/>
          <w:sz w:val="20"/>
          <w:szCs w:val="20"/>
        </w:rPr>
        <w:t xml:space="preserve"> </w:t>
      </w:r>
      <w:r w:rsidR="00AB7DDD">
        <w:rPr>
          <w:rFonts w:ascii="Times New Roman" w:hAnsi="Times New Roman" w:cs="Times New Roman"/>
          <w:color w:val="000000"/>
          <w:sz w:val="20"/>
          <w:szCs w:val="20"/>
        </w:rPr>
        <w:t>Preliminary research carried out by other NSIs suggests that</w:t>
      </w:r>
      <w:r w:rsidR="00AB7DDD" w:rsidRPr="00AB7DDD">
        <w:rPr>
          <w:rFonts w:ascii="Times New Roman" w:hAnsi="Times New Roman" w:cs="Times New Roman"/>
          <w:sz w:val="20"/>
          <w:szCs w:val="20"/>
        </w:rPr>
        <w:t xml:space="preserve"> administrative records </w:t>
      </w:r>
      <w:r w:rsidR="00AB7DDD">
        <w:rPr>
          <w:rFonts w:ascii="Times New Roman" w:hAnsi="Times New Roman" w:cs="Times New Roman"/>
          <w:sz w:val="20"/>
          <w:szCs w:val="20"/>
        </w:rPr>
        <w:t xml:space="preserve">may be a promising avenue for other more difficult variables, like </w:t>
      </w:r>
      <w:r w:rsidR="00853F2B">
        <w:rPr>
          <w:rFonts w:ascii="Times New Roman" w:hAnsi="Times New Roman" w:cs="Times New Roman"/>
          <w:sz w:val="20"/>
          <w:szCs w:val="20"/>
        </w:rPr>
        <w:t>race</w:t>
      </w:r>
      <w:r w:rsidR="00AB7DDD">
        <w:rPr>
          <w:rFonts w:ascii="Times New Roman" w:hAnsi="Times New Roman" w:cs="Times New Roman"/>
          <w:sz w:val="20"/>
          <w:szCs w:val="20"/>
        </w:rPr>
        <w:t xml:space="preserve"> (Rastogi et al., 2014). </w:t>
      </w:r>
    </w:p>
    <w:p w:rsidR="0042061C" w:rsidRDefault="0042061C" w:rsidP="004B7C9B">
      <w:pPr>
        <w:spacing w:after="0" w:line="240" w:lineRule="auto"/>
        <w:rPr>
          <w:rFonts w:ascii="Times New Roman" w:hAnsi="Times New Roman" w:cs="Times New Roman"/>
          <w:color w:val="000000"/>
          <w:sz w:val="20"/>
          <w:szCs w:val="20"/>
        </w:rPr>
      </w:pPr>
    </w:p>
    <w:p w:rsidR="005F65FE" w:rsidRDefault="00A300DA" w:rsidP="005F65FE">
      <w:pPr>
        <w:spacing w:after="0" w:line="240" w:lineRule="auto"/>
        <w:rPr>
          <w:rFonts w:ascii="Times New Roman" w:hAnsi="Times New Roman" w:cs="Times New Roman"/>
          <w:b/>
          <w:sz w:val="24"/>
          <w:szCs w:val="24"/>
        </w:rPr>
      </w:pPr>
      <w:r>
        <w:rPr>
          <w:rFonts w:ascii="Times New Roman" w:hAnsi="Times New Roman" w:cs="Times New Roman"/>
          <w:color w:val="000000"/>
          <w:sz w:val="20"/>
          <w:szCs w:val="20"/>
        </w:rPr>
        <w:t>The study assumed perfect linkage and 100% coverage</w:t>
      </w:r>
      <w:r w:rsidR="00AD4554">
        <w:rPr>
          <w:rFonts w:ascii="Times New Roman" w:hAnsi="Times New Roman" w:cs="Times New Roman"/>
          <w:color w:val="000000"/>
          <w:sz w:val="20"/>
          <w:szCs w:val="20"/>
        </w:rPr>
        <w:t xml:space="preserve"> in order to focus on the effects of error in the </w:t>
      </w:r>
      <w:r w:rsidR="004A3C10">
        <w:rPr>
          <w:rFonts w:ascii="Times New Roman" w:hAnsi="Times New Roman" w:cs="Times New Roman"/>
          <w:color w:val="000000"/>
          <w:sz w:val="20"/>
          <w:szCs w:val="20"/>
        </w:rPr>
        <w:t xml:space="preserve">administrative </w:t>
      </w:r>
      <w:r w:rsidR="00AD4554">
        <w:rPr>
          <w:rFonts w:ascii="Times New Roman" w:hAnsi="Times New Roman" w:cs="Times New Roman"/>
          <w:color w:val="000000"/>
          <w:sz w:val="20"/>
          <w:szCs w:val="20"/>
        </w:rPr>
        <w:t>data</w:t>
      </w:r>
      <w:r w:rsidR="0042061C">
        <w:rPr>
          <w:rFonts w:ascii="Times New Roman" w:hAnsi="Times New Roman" w:cs="Times New Roman"/>
          <w:color w:val="000000"/>
          <w:sz w:val="20"/>
          <w:szCs w:val="20"/>
        </w:rPr>
        <w:t xml:space="preserve">, but </w:t>
      </w:r>
      <w:r w:rsidR="00B85CDC">
        <w:rPr>
          <w:rFonts w:ascii="Times New Roman" w:hAnsi="Times New Roman" w:cs="Times New Roman"/>
          <w:color w:val="000000"/>
          <w:sz w:val="20"/>
          <w:szCs w:val="20"/>
        </w:rPr>
        <w:t>this</w:t>
      </w:r>
      <w:r w:rsidR="007F3BDD">
        <w:rPr>
          <w:rFonts w:ascii="Times New Roman" w:hAnsi="Times New Roman" w:cs="Times New Roman"/>
          <w:color w:val="000000"/>
          <w:sz w:val="20"/>
          <w:szCs w:val="20"/>
        </w:rPr>
        <w:t xml:space="preserve"> would not be achieved in a real situation</w:t>
      </w:r>
      <w:r w:rsidR="00645207">
        <w:rPr>
          <w:rFonts w:ascii="Times New Roman" w:hAnsi="Times New Roman" w:cs="Times New Roman"/>
          <w:color w:val="000000"/>
          <w:sz w:val="20"/>
          <w:szCs w:val="20"/>
        </w:rPr>
        <w:t xml:space="preserve"> so the findings represent a ‘best-case’ scenario</w:t>
      </w:r>
      <w:r w:rsidR="00120210">
        <w:rPr>
          <w:rFonts w:ascii="Times New Roman" w:hAnsi="Times New Roman" w:cs="Times New Roman"/>
          <w:color w:val="000000"/>
          <w:sz w:val="20"/>
          <w:szCs w:val="20"/>
        </w:rPr>
        <w:t>. F</w:t>
      </w:r>
      <w:r w:rsidR="0042061C">
        <w:rPr>
          <w:rFonts w:ascii="Times New Roman" w:hAnsi="Times New Roman" w:cs="Times New Roman"/>
          <w:color w:val="000000"/>
          <w:sz w:val="20"/>
          <w:szCs w:val="20"/>
        </w:rPr>
        <w:t>urther work will</w:t>
      </w:r>
      <w:r w:rsidR="00120210">
        <w:rPr>
          <w:rFonts w:ascii="Times New Roman" w:hAnsi="Times New Roman" w:cs="Times New Roman"/>
          <w:color w:val="000000"/>
          <w:sz w:val="20"/>
          <w:szCs w:val="20"/>
        </w:rPr>
        <w:t xml:space="preserve"> therefore</w:t>
      </w:r>
      <w:r w:rsidR="0042061C">
        <w:rPr>
          <w:rFonts w:ascii="Times New Roman" w:hAnsi="Times New Roman" w:cs="Times New Roman"/>
          <w:color w:val="000000"/>
          <w:sz w:val="20"/>
          <w:szCs w:val="20"/>
        </w:rPr>
        <w:t xml:space="preserve"> be required to determine the effects of imperfect linkage and less than 100% </w:t>
      </w:r>
      <w:r w:rsidR="004A3C10">
        <w:rPr>
          <w:rFonts w:ascii="Times New Roman" w:hAnsi="Times New Roman" w:cs="Times New Roman"/>
          <w:color w:val="000000"/>
          <w:sz w:val="20"/>
          <w:szCs w:val="20"/>
        </w:rPr>
        <w:t xml:space="preserve">administrative </w:t>
      </w:r>
      <w:r w:rsidR="00F35DD9">
        <w:rPr>
          <w:rFonts w:ascii="Times New Roman" w:hAnsi="Times New Roman" w:cs="Times New Roman"/>
          <w:color w:val="000000"/>
          <w:sz w:val="20"/>
          <w:szCs w:val="20"/>
        </w:rPr>
        <w:t xml:space="preserve">data </w:t>
      </w:r>
      <w:r w:rsidR="00120210">
        <w:rPr>
          <w:rFonts w:ascii="Times New Roman" w:hAnsi="Times New Roman" w:cs="Times New Roman"/>
          <w:color w:val="000000"/>
          <w:sz w:val="20"/>
          <w:szCs w:val="20"/>
        </w:rPr>
        <w:t xml:space="preserve">coverage to allow a full cost-benefit analysis of the method </w:t>
      </w:r>
      <w:r w:rsidR="00C24936">
        <w:rPr>
          <w:rFonts w:ascii="Times New Roman" w:hAnsi="Times New Roman" w:cs="Times New Roman"/>
          <w:color w:val="000000"/>
          <w:sz w:val="20"/>
          <w:szCs w:val="20"/>
        </w:rPr>
        <w:t>to be carried out in preparation for</w:t>
      </w:r>
      <w:r w:rsidR="00120210">
        <w:rPr>
          <w:rFonts w:ascii="Times New Roman" w:hAnsi="Times New Roman" w:cs="Times New Roman"/>
          <w:color w:val="000000"/>
          <w:sz w:val="20"/>
          <w:szCs w:val="20"/>
        </w:rPr>
        <w:t xml:space="preserve"> the 2021 Census</w:t>
      </w:r>
      <w:r w:rsidR="0042061C">
        <w:rPr>
          <w:rFonts w:ascii="Times New Roman" w:hAnsi="Times New Roman" w:cs="Times New Roman"/>
          <w:color w:val="000000"/>
          <w:sz w:val="20"/>
          <w:szCs w:val="20"/>
        </w:rPr>
        <w:t>.</w:t>
      </w:r>
      <w:r w:rsidR="005861E6">
        <w:rPr>
          <w:rFonts w:ascii="Times New Roman" w:hAnsi="Times New Roman" w:cs="Times New Roman"/>
          <w:color w:val="000000"/>
          <w:sz w:val="20"/>
          <w:szCs w:val="20"/>
        </w:rPr>
        <w:t xml:space="preserve"> </w:t>
      </w:r>
    </w:p>
    <w:p w:rsidR="000500F4" w:rsidRPr="005F65FE" w:rsidRDefault="000500F4" w:rsidP="005F65FE">
      <w:pPr>
        <w:spacing w:after="0" w:line="240" w:lineRule="auto"/>
        <w:rPr>
          <w:rFonts w:ascii="Times New Roman" w:hAnsi="Times New Roman" w:cs="Times New Roman"/>
          <w:b/>
          <w:sz w:val="24"/>
          <w:szCs w:val="24"/>
        </w:rPr>
      </w:pPr>
    </w:p>
    <w:p w:rsidR="005F65FE" w:rsidRPr="000F442F" w:rsidRDefault="000F442F" w:rsidP="000F44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BF1DA7" w:rsidRDefault="00BF1DA7" w:rsidP="002737AA">
      <w:pPr>
        <w:spacing w:after="0" w:line="240" w:lineRule="auto"/>
        <w:ind w:left="720" w:hanging="720"/>
        <w:rPr>
          <w:rFonts w:ascii="Times New Roman" w:hAnsi="Times New Roman" w:cs="Times New Roman"/>
          <w:color w:val="000000"/>
          <w:sz w:val="20"/>
          <w:szCs w:val="20"/>
        </w:rPr>
      </w:pPr>
    </w:p>
    <w:p w:rsidR="00D47081" w:rsidRDefault="00D47081" w:rsidP="002737AA">
      <w:pPr>
        <w:autoSpaceDE w:val="0"/>
        <w:autoSpaceDN w:val="0"/>
        <w:adjustRightInd w:val="0"/>
        <w:spacing w:after="0" w:line="240" w:lineRule="auto"/>
        <w:ind w:left="720" w:hanging="720"/>
        <w:rPr>
          <w:rFonts w:ascii="Times New Roman" w:hAnsi="Times New Roman" w:cs="Times New Roman"/>
          <w:color w:val="000000" w:themeColor="text1"/>
          <w:sz w:val="20"/>
          <w:szCs w:val="20"/>
        </w:rPr>
      </w:pPr>
      <w:r w:rsidRPr="00BF1DA7">
        <w:rPr>
          <w:rFonts w:ascii="Times New Roman" w:hAnsi="Times New Roman" w:cs="Times New Roman"/>
          <w:sz w:val="20"/>
          <w:szCs w:val="20"/>
        </w:rPr>
        <w:t xml:space="preserve">Aldrich, S., Wardman, L., and Rogers, S. (2012), </w:t>
      </w:r>
      <w:r w:rsidRPr="00BF1DA7">
        <w:rPr>
          <w:rFonts w:ascii="Times New Roman" w:hAnsi="Times New Roman" w:cs="Times New Roman"/>
          <w:bCs/>
          <w:sz w:val="20"/>
          <w:szCs w:val="20"/>
        </w:rPr>
        <w:t xml:space="preserve">The </w:t>
      </w:r>
      <w:r>
        <w:rPr>
          <w:rFonts w:ascii="Times New Roman" w:hAnsi="Times New Roman" w:cs="Times New Roman"/>
          <w:bCs/>
          <w:sz w:val="20"/>
          <w:szCs w:val="20"/>
        </w:rPr>
        <w:t>p</w:t>
      </w:r>
      <w:r w:rsidRPr="00BF1DA7">
        <w:rPr>
          <w:rFonts w:ascii="Times New Roman" w:hAnsi="Times New Roman" w:cs="Times New Roman"/>
          <w:bCs/>
          <w:sz w:val="20"/>
          <w:szCs w:val="20"/>
        </w:rPr>
        <w:t xml:space="preserve">ractical </w:t>
      </w:r>
      <w:r>
        <w:rPr>
          <w:rFonts w:ascii="Times New Roman" w:hAnsi="Times New Roman" w:cs="Times New Roman"/>
          <w:bCs/>
          <w:sz w:val="20"/>
          <w:szCs w:val="20"/>
        </w:rPr>
        <w:t>i</w:t>
      </w:r>
      <w:r w:rsidRPr="00BF1DA7">
        <w:rPr>
          <w:rFonts w:ascii="Times New Roman" w:hAnsi="Times New Roman" w:cs="Times New Roman"/>
          <w:bCs/>
          <w:sz w:val="20"/>
          <w:szCs w:val="20"/>
        </w:rPr>
        <w:t xml:space="preserve">mplementation of the 2011 UK Census </w:t>
      </w:r>
      <w:r>
        <w:rPr>
          <w:rFonts w:ascii="Times New Roman" w:hAnsi="Times New Roman" w:cs="Times New Roman"/>
          <w:bCs/>
          <w:sz w:val="20"/>
          <w:szCs w:val="20"/>
        </w:rPr>
        <w:t>i</w:t>
      </w:r>
      <w:r w:rsidRPr="00BF1DA7">
        <w:rPr>
          <w:rFonts w:ascii="Times New Roman" w:hAnsi="Times New Roman" w:cs="Times New Roman"/>
          <w:bCs/>
          <w:sz w:val="20"/>
          <w:szCs w:val="20"/>
        </w:rPr>
        <w:t xml:space="preserve">mputation </w:t>
      </w:r>
      <w:r>
        <w:rPr>
          <w:rFonts w:ascii="Times New Roman" w:hAnsi="Times New Roman" w:cs="Times New Roman"/>
          <w:bCs/>
          <w:sz w:val="20"/>
          <w:szCs w:val="20"/>
        </w:rPr>
        <w:t>m</w:t>
      </w:r>
      <w:r w:rsidRPr="00BF1DA7">
        <w:rPr>
          <w:rFonts w:ascii="Times New Roman" w:hAnsi="Times New Roman" w:cs="Times New Roman"/>
          <w:bCs/>
          <w:sz w:val="20"/>
          <w:szCs w:val="20"/>
        </w:rPr>
        <w:t xml:space="preserve">ethodology. </w:t>
      </w:r>
      <w:r w:rsidRPr="00BF1DA7">
        <w:rPr>
          <w:rFonts w:ascii="Times New Roman" w:hAnsi="Times New Roman" w:cs="Times New Roman"/>
          <w:color w:val="000000" w:themeColor="text1"/>
          <w:sz w:val="20"/>
          <w:szCs w:val="20"/>
        </w:rPr>
        <w:t xml:space="preserve">Available online: [06/01/2015] </w:t>
      </w:r>
      <w:hyperlink r:id="rId13" w:anchor="/" w:history="1">
        <w:r w:rsidR="00753628" w:rsidRPr="00EE2931">
          <w:rPr>
            <w:rStyle w:val="Hyperlink"/>
            <w:rFonts w:ascii="Times New Roman" w:hAnsi="Times New Roman" w:cs="Times New Roman"/>
            <w:sz w:val="20"/>
            <w:szCs w:val="20"/>
          </w:rPr>
          <w:t>http://www.unece.org/stats/documents/2012.09.sde.html#/</w:t>
        </w:r>
      </w:hyperlink>
    </w:p>
    <w:p w:rsidR="00753628" w:rsidRPr="00BF1DA7" w:rsidRDefault="00753628" w:rsidP="002737AA">
      <w:pPr>
        <w:autoSpaceDE w:val="0"/>
        <w:autoSpaceDN w:val="0"/>
        <w:adjustRightInd w:val="0"/>
        <w:spacing w:after="0" w:line="240" w:lineRule="auto"/>
        <w:ind w:left="720" w:hanging="720"/>
        <w:rPr>
          <w:rFonts w:ascii="Times New Roman" w:hAnsi="Times New Roman" w:cs="Times New Roman"/>
          <w:color w:val="000000" w:themeColor="text1"/>
          <w:sz w:val="20"/>
          <w:szCs w:val="20"/>
        </w:rPr>
      </w:pPr>
    </w:p>
    <w:p w:rsidR="00D47081" w:rsidRDefault="00D47081" w:rsidP="002737AA">
      <w:pPr>
        <w:pStyle w:val="Default"/>
        <w:ind w:left="720" w:hanging="720"/>
        <w:rPr>
          <w:sz w:val="20"/>
          <w:szCs w:val="20"/>
        </w:rPr>
      </w:pPr>
      <w:r w:rsidRPr="00BF1DA7">
        <w:rPr>
          <w:sz w:val="20"/>
          <w:szCs w:val="20"/>
        </w:rPr>
        <w:t xml:space="preserve">Bankier, M., Lachance, M., </w:t>
      </w:r>
      <w:r w:rsidR="00AB7DDD">
        <w:rPr>
          <w:sz w:val="20"/>
          <w:szCs w:val="20"/>
        </w:rPr>
        <w:t>and</w:t>
      </w:r>
      <w:r w:rsidRPr="00BF1DA7">
        <w:rPr>
          <w:sz w:val="20"/>
          <w:szCs w:val="20"/>
        </w:rPr>
        <w:t xml:space="preserve"> Poirer, P. (1999), A generic implementation of the new imputation m</w:t>
      </w:r>
      <w:r w:rsidR="003144E0">
        <w:rPr>
          <w:sz w:val="20"/>
          <w:szCs w:val="20"/>
        </w:rPr>
        <w:t>ethodology. Accessed online: [12/01</w:t>
      </w:r>
      <w:r w:rsidRPr="00BF1DA7">
        <w:rPr>
          <w:sz w:val="20"/>
          <w:szCs w:val="20"/>
        </w:rPr>
        <w:t>/</w:t>
      </w:r>
      <w:r>
        <w:rPr>
          <w:sz w:val="20"/>
          <w:szCs w:val="20"/>
        </w:rPr>
        <w:t>2</w:t>
      </w:r>
      <w:r w:rsidR="003144E0">
        <w:rPr>
          <w:sz w:val="20"/>
          <w:szCs w:val="20"/>
        </w:rPr>
        <w:t>016</w:t>
      </w:r>
      <w:r w:rsidRPr="00BF1DA7">
        <w:rPr>
          <w:sz w:val="20"/>
          <w:szCs w:val="20"/>
        </w:rPr>
        <w:t xml:space="preserve">] </w:t>
      </w:r>
      <w:hyperlink r:id="rId14" w:history="1">
        <w:r w:rsidR="0085243E" w:rsidRPr="00B15DEC">
          <w:rPr>
            <w:rStyle w:val="Hyperlink"/>
            <w:sz w:val="20"/>
            <w:szCs w:val="20"/>
          </w:rPr>
          <w:t>http://www.ssc.ca/survey/documents/SSC2000_M_Bankier.pdf</w:t>
        </w:r>
      </w:hyperlink>
    </w:p>
    <w:p w:rsidR="0085243E" w:rsidRDefault="0085243E" w:rsidP="002737AA">
      <w:pPr>
        <w:pStyle w:val="Default"/>
        <w:ind w:left="777" w:hanging="720"/>
        <w:rPr>
          <w:sz w:val="20"/>
          <w:szCs w:val="20"/>
        </w:rPr>
      </w:pPr>
    </w:p>
    <w:p w:rsidR="00F23D1D" w:rsidRDefault="0085243E" w:rsidP="002737AA">
      <w:pPr>
        <w:autoSpaceDE w:val="0"/>
        <w:autoSpaceDN w:val="0"/>
        <w:adjustRightInd w:val="0"/>
        <w:spacing w:after="0" w:line="240" w:lineRule="auto"/>
        <w:ind w:left="720" w:hanging="720"/>
        <w:rPr>
          <w:rFonts w:ascii="Times New Roman" w:hAnsi="Times New Roman" w:cs="Times New Roman"/>
          <w:bCs/>
          <w:iCs/>
          <w:sz w:val="20"/>
          <w:szCs w:val="20"/>
        </w:rPr>
      </w:pPr>
      <w:r w:rsidRPr="0085243E">
        <w:rPr>
          <w:rFonts w:ascii="Times New Roman" w:hAnsi="Times New Roman" w:cs="Times New Roman"/>
          <w:sz w:val="20"/>
          <w:szCs w:val="20"/>
        </w:rPr>
        <w:t xml:space="preserve">Blum, O. (2006), </w:t>
      </w:r>
      <w:r w:rsidRPr="0085243E">
        <w:rPr>
          <w:rFonts w:ascii="Times New Roman" w:hAnsi="Times New Roman" w:cs="Times New Roman"/>
          <w:bCs/>
          <w:iCs/>
          <w:sz w:val="20"/>
          <w:szCs w:val="20"/>
        </w:rPr>
        <w:t>Evaluation of editing and imputation supported by administrative records</w:t>
      </w:r>
      <w:r>
        <w:rPr>
          <w:rFonts w:ascii="Times New Roman" w:hAnsi="Times New Roman" w:cs="Times New Roman"/>
          <w:bCs/>
          <w:iCs/>
          <w:sz w:val="20"/>
          <w:szCs w:val="20"/>
        </w:rPr>
        <w:t xml:space="preserve">. Statistical Data Editing Volume 3: Impact on Data Quality, UNECE, </w:t>
      </w:r>
      <w:r w:rsidR="00871618">
        <w:rPr>
          <w:rFonts w:ascii="Times New Roman" w:hAnsi="Times New Roman" w:cs="Times New Roman"/>
          <w:bCs/>
          <w:iCs/>
          <w:sz w:val="20"/>
          <w:szCs w:val="20"/>
        </w:rPr>
        <w:t>pp</w:t>
      </w:r>
      <w:r>
        <w:rPr>
          <w:rFonts w:ascii="Times New Roman" w:hAnsi="Times New Roman" w:cs="Times New Roman"/>
          <w:bCs/>
          <w:iCs/>
          <w:sz w:val="20"/>
          <w:szCs w:val="20"/>
        </w:rPr>
        <w:t>300-309.</w:t>
      </w:r>
      <w:r w:rsidR="00871618">
        <w:rPr>
          <w:rFonts w:ascii="Times New Roman" w:hAnsi="Times New Roman" w:cs="Times New Roman"/>
          <w:bCs/>
          <w:iCs/>
          <w:sz w:val="20"/>
          <w:szCs w:val="20"/>
        </w:rPr>
        <w:t xml:space="preserve"> Available online</w:t>
      </w:r>
      <w:r w:rsidR="00853F2B">
        <w:rPr>
          <w:rFonts w:ascii="Times New Roman" w:hAnsi="Times New Roman" w:cs="Times New Roman"/>
          <w:bCs/>
          <w:iCs/>
          <w:sz w:val="20"/>
          <w:szCs w:val="20"/>
        </w:rPr>
        <w:t>:</w:t>
      </w:r>
      <w:r w:rsidR="00871618">
        <w:rPr>
          <w:rFonts w:ascii="Times New Roman" w:hAnsi="Times New Roman" w:cs="Times New Roman"/>
          <w:bCs/>
          <w:iCs/>
          <w:sz w:val="20"/>
          <w:szCs w:val="20"/>
        </w:rPr>
        <w:t xml:space="preserve"> [10/12/2015] </w:t>
      </w:r>
      <w:hyperlink r:id="rId15" w:history="1">
        <w:r w:rsidR="00F23D1D" w:rsidRPr="00B15DEC">
          <w:rPr>
            <w:rStyle w:val="Hyperlink"/>
            <w:rFonts w:ascii="Times New Roman" w:hAnsi="Times New Roman" w:cs="Times New Roman"/>
            <w:bCs/>
            <w:iCs/>
            <w:sz w:val="20"/>
            <w:szCs w:val="20"/>
          </w:rPr>
          <w:t>http://www.unece.org/stats/publications/editing/SDE3.html</w:t>
        </w:r>
      </w:hyperlink>
    </w:p>
    <w:p w:rsidR="00F23D1D" w:rsidRDefault="00F23D1D" w:rsidP="002737AA">
      <w:pPr>
        <w:autoSpaceDE w:val="0"/>
        <w:autoSpaceDN w:val="0"/>
        <w:adjustRightInd w:val="0"/>
        <w:spacing w:after="0" w:line="240" w:lineRule="auto"/>
        <w:ind w:left="720" w:hanging="720"/>
        <w:rPr>
          <w:rFonts w:ascii="Times New Roman" w:hAnsi="Times New Roman" w:cs="Times New Roman"/>
          <w:bCs/>
          <w:iCs/>
          <w:sz w:val="20"/>
          <w:szCs w:val="20"/>
        </w:rPr>
      </w:pPr>
    </w:p>
    <w:p w:rsidR="00D47081" w:rsidRDefault="00D47081" w:rsidP="002737AA">
      <w:pPr>
        <w:autoSpaceDE w:val="0"/>
        <w:autoSpaceDN w:val="0"/>
        <w:adjustRightInd w:val="0"/>
        <w:spacing w:after="0" w:line="240" w:lineRule="auto"/>
        <w:ind w:left="720" w:hanging="720"/>
        <w:rPr>
          <w:rFonts w:ascii="Times New Roman" w:hAnsi="Times New Roman" w:cs="Times New Roman"/>
          <w:sz w:val="20"/>
          <w:szCs w:val="20"/>
        </w:rPr>
      </w:pPr>
      <w:r w:rsidRPr="00F23D1D">
        <w:rPr>
          <w:rFonts w:ascii="Times New Roman" w:hAnsi="Times New Roman" w:cs="Times New Roman"/>
          <w:sz w:val="20"/>
          <w:szCs w:val="20"/>
        </w:rPr>
        <w:t>C</w:t>
      </w:r>
      <w:r w:rsidR="00A666B9">
        <w:rPr>
          <w:rFonts w:ascii="Times New Roman" w:hAnsi="Times New Roman" w:cs="Times New Roman"/>
          <w:sz w:val="20"/>
          <w:szCs w:val="20"/>
        </w:rPr>
        <w:t>ANCEIS</w:t>
      </w:r>
      <w:r w:rsidRPr="00F23D1D">
        <w:rPr>
          <w:rFonts w:ascii="Times New Roman" w:hAnsi="Times New Roman" w:cs="Times New Roman"/>
          <w:sz w:val="20"/>
          <w:szCs w:val="20"/>
        </w:rPr>
        <w:t xml:space="preserve"> (2009), Users Guide V4.5. C</w:t>
      </w:r>
      <w:r w:rsidR="00A666B9">
        <w:rPr>
          <w:rFonts w:ascii="Times New Roman" w:hAnsi="Times New Roman" w:cs="Times New Roman"/>
          <w:sz w:val="20"/>
          <w:szCs w:val="20"/>
        </w:rPr>
        <w:t>ANCEIS</w:t>
      </w:r>
      <w:r w:rsidRPr="00F23D1D">
        <w:rPr>
          <w:rFonts w:ascii="Times New Roman" w:hAnsi="Times New Roman" w:cs="Times New Roman"/>
          <w:sz w:val="20"/>
          <w:szCs w:val="20"/>
        </w:rPr>
        <w:t xml:space="preserve"> Development Team. Social Survey Methods Division, Statistics Canada</w:t>
      </w:r>
    </w:p>
    <w:p w:rsidR="00EE5A1A" w:rsidRDefault="00EE5A1A" w:rsidP="002737AA">
      <w:pPr>
        <w:autoSpaceDE w:val="0"/>
        <w:autoSpaceDN w:val="0"/>
        <w:adjustRightInd w:val="0"/>
        <w:spacing w:after="0" w:line="240" w:lineRule="auto"/>
        <w:ind w:left="720" w:hanging="720"/>
        <w:rPr>
          <w:rFonts w:ascii="Times New Roman" w:hAnsi="Times New Roman" w:cs="Times New Roman"/>
          <w:sz w:val="20"/>
          <w:szCs w:val="20"/>
        </w:rPr>
      </w:pPr>
    </w:p>
    <w:p w:rsidR="00EE5A1A" w:rsidRDefault="00EE5A1A" w:rsidP="002737AA">
      <w:pPr>
        <w:autoSpaceDE w:val="0"/>
        <w:autoSpaceDN w:val="0"/>
        <w:adjustRightInd w:val="0"/>
        <w:spacing w:after="0" w:line="240" w:lineRule="auto"/>
        <w:ind w:left="720" w:hanging="720"/>
        <w:rPr>
          <w:rFonts w:ascii="Times New Roman" w:hAnsi="Times New Roman" w:cs="Times New Roman"/>
          <w:sz w:val="20"/>
          <w:szCs w:val="20"/>
        </w:rPr>
      </w:pPr>
      <w:r w:rsidRPr="00EE5A1A">
        <w:rPr>
          <w:rFonts w:ascii="Times New Roman" w:hAnsi="Times New Roman" w:cs="Times New Roman"/>
          <w:sz w:val="20"/>
          <w:szCs w:val="20"/>
        </w:rPr>
        <w:t>Chambers (2001), National Statistics Methodological Series Report 28: Evaluation criteria for statistical editing and imputation, Office for National Statistics</w:t>
      </w:r>
    </w:p>
    <w:p w:rsidR="00AB7DDD" w:rsidRDefault="00AB7DDD" w:rsidP="002737AA">
      <w:pPr>
        <w:autoSpaceDE w:val="0"/>
        <w:autoSpaceDN w:val="0"/>
        <w:adjustRightInd w:val="0"/>
        <w:spacing w:after="0" w:line="240" w:lineRule="auto"/>
        <w:ind w:left="720" w:hanging="720"/>
        <w:rPr>
          <w:rFonts w:ascii="Times New Roman" w:hAnsi="Times New Roman" w:cs="Times New Roman"/>
          <w:sz w:val="20"/>
          <w:szCs w:val="20"/>
        </w:rPr>
      </w:pPr>
    </w:p>
    <w:p w:rsidR="00AB7DDD" w:rsidRDefault="00AB7DDD" w:rsidP="002737AA">
      <w:pPr>
        <w:autoSpaceDE w:val="0"/>
        <w:autoSpaceDN w:val="0"/>
        <w:adjustRightInd w:val="0"/>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Rastogi, S., Fernandez, L., Noon, J., Zapata, E. an</w:t>
      </w:r>
      <w:r w:rsidR="00853F2B">
        <w:rPr>
          <w:rFonts w:ascii="Times New Roman" w:hAnsi="Times New Roman" w:cs="Times New Roman"/>
          <w:sz w:val="20"/>
          <w:szCs w:val="20"/>
        </w:rPr>
        <w:t>d Bhaskar, R (2014). Exploring a</w:t>
      </w:r>
      <w:r>
        <w:rPr>
          <w:rFonts w:ascii="Times New Roman" w:hAnsi="Times New Roman" w:cs="Times New Roman"/>
          <w:sz w:val="20"/>
          <w:szCs w:val="20"/>
        </w:rPr>
        <w:t>dmin</w:t>
      </w:r>
      <w:r w:rsidR="00853F2B">
        <w:rPr>
          <w:rFonts w:ascii="Times New Roman" w:hAnsi="Times New Roman" w:cs="Times New Roman"/>
          <w:sz w:val="20"/>
          <w:szCs w:val="20"/>
        </w:rPr>
        <w:t>is</w:t>
      </w:r>
      <w:r>
        <w:rPr>
          <w:rFonts w:ascii="Times New Roman" w:hAnsi="Times New Roman" w:cs="Times New Roman"/>
          <w:sz w:val="20"/>
          <w:szCs w:val="20"/>
        </w:rPr>
        <w:t xml:space="preserve">trative </w:t>
      </w:r>
      <w:r w:rsidR="00853F2B">
        <w:rPr>
          <w:rFonts w:ascii="Times New Roman" w:hAnsi="Times New Roman" w:cs="Times New Roman"/>
          <w:sz w:val="20"/>
          <w:szCs w:val="20"/>
        </w:rPr>
        <w:t>r</w:t>
      </w:r>
      <w:r>
        <w:rPr>
          <w:rFonts w:ascii="Times New Roman" w:hAnsi="Times New Roman" w:cs="Times New Roman"/>
          <w:sz w:val="20"/>
          <w:szCs w:val="20"/>
        </w:rPr>
        <w:t xml:space="preserve">ecords use for </w:t>
      </w:r>
      <w:r w:rsidR="00853F2B">
        <w:rPr>
          <w:rFonts w:ascii="Times New Roman" w:hAnsi="Times New Roman" w:cs="Times New Roman"/>
          <w:sz w:val="20"/>
          <w:szCs w:val="20"/>
        </w:rPr>
        <w:t>r</w:t>
      </w:r>
      <w:r>
        <w:rPr>
          <w:rFonts w:ascii="Times New Roman" w:hAnsi="Times New Roman" w:cs="Times New Roman"/>
          <w:sz w:val="20"/>
          <w:szCs w:val="20"/>
        </w:rPr>
        <w:t xml:space="preserve">ace and </w:t>
      </w:r>
      <w:r w:rsidR="00853F2B">
        <w:rPr>
          <w:rFonts w:ascii="Times New Roman" w:hAnsi="Times New Roman" w:cs="Times New Roman"/>
          <w:sz w:val="20"/>
          <w:szCs w:val="20"/>
        </w:rPr>
        <w:t>h</w:t>
      </w:r>
      <w:r>
        <w:rPr>
          <w:rFonts w:ascii="Times New Roman" w:hAnsi="Times New Roman" w:cs="Times New Roman"/>
          <w:sz w:val="20"/>
          <w:szCs w:val="20"/>
        </w:rPr>
        <w:t xml:space="preserve">ispanic </w:t>
      </w:r>
      <w:r w:rsidR="00853F2B">
        <w:rPr>
          <w:rFonts w:ascii="Times New Roman" w:hAnsi="Times New Roman" w:cs="Times New Roman"/>
          <w:sz w:val="20"/>
          <w:szCs w:val="20"/>
        </w:rPr>
        <w:t>o</w:t>
      </w:r>
      <w:r>
        <w:rPr>
          <w:rFonts w:ascii="Times New Roman" w:hAnsi="Times New Roman" w:cs="Times New Roman"/>
          <w:sz w:val="20"/>
          <w:szCs w:val="20"/>
        </w:rPr>
        <w:t xml:space="preserve">rigin </w:t>
      </w:r>
      <w:r w:rsidR="00853F2B">
        <w:rPr>
          <w:rFonts w:ascii="Times New Roman" w:hAnsi="Times New Roman" w:cs="Times New Roman"/>
          <w:sz w:val="20"/>
          <w:szCs w:val="20"/>
        </w:rPr>
        <w:t>i</w:t>
      </w:r>
      <w:r>
        <w:rPr>
          <w:rFonts w:ascii="Times New Roman" w:hAnsi="Times New Roman" w:cs="Times New Roman"/>
          <w:sz w:val="20"/>
          <w:szCs w:val="20"/>
        </w:rPr>
        <w:t xml:space="preserve">tem </w:t>
      </w:r>
      <w:r w:rsidR="00853F2B">
        <w:rPr>
          <w:rFonts w:ascii="Times New Roman" w:hAnsi="Times New Roman" w:cs="Times New Roman"/>
          <w:sz w:val="20"/>
          <w:szCs w:val="20"/>
        </w:rPr>
        <w:t>n</w:t>
      </w:r>
      <w:r>
        <w:rPr>
          <w:rFonts w:ascii="Times New Roman" w:hAnsi="Times New Roman" w:cs="Times New Roman"/>
          <w:sz w:val="20"/>
          <w:szCs w:val="20"/>
        </w:rPr>
        <w:t>on-</w:t>
      </w:r>
      <w:r w:rsidR="00853F2B">
        <w:rPr>
          <w:rFonts w:ascii="Times New Roman" w:hAnsi="Times New Roman" w:cs="Times New Roman"/>
          <w:sz w:val="20"/>
          <w:szCs w:val="20"/>
        </w:rPr>
        <w:t>r</w:t>
      </w:r>
      <w:r>
        <w:rPr>
          <w:rFonts w:ascii="Times New Roman" w:hAnsi="Times New Roman" w:cs="Times New Roman"/>
          <w:sz w:val="20"/>
          <w:szCs w:val="20"/>
        </w:rPr>
        <w:t>esponse</w:t>
      </w:r>
      <w:r w:rsidR="00853F2B">
        <w:rPr>
          <w:rFonts w:ascii="Times New Roman" w:hAnsi="Times New Roman" w:cs="Times New Roman"/>
          <w:sz w:val="20"/>
          <w:szCs w:val="20"/>
        </w:rPr>
        <w:t xml:space="preserve">. US Census Bureau CARRA Working Paper Series #2014-16. Available online: [01/04/2016] </w:t>
      </w:r>
      <w:hyperlink r:id="rId16" w:history="1">
        <w:r w:rsidR="00853F2B" w:rsidRPr="00D27A51">
          <w:rPr>
            <w:rStyle w:val="Hyperlink"/>
            <w:rFonts w:ascii="Times New Roman" w:hAnsi="Times New Roman" w:cs="Times New Roman"/>
            <w:sz w:val="20"/>
            <w:szCs w:val="20"/>
          </w:rPr>
          <w:t>https://www.census.gov/srd/carra/16_Exploring_Admin_Recs_for_Race_and_Hispanic_Origin_Item_NR.pdf</w:t>
        </w:r>
      </w:hyperlink>
    </w:p>
    <w:p w:rsidR="00F23D1D" w:rsidRDefault="00F23D1D" w:rsidP="002737AA">
      <w:pPr>
        <w:autoSpaceDE w:val="0"/>
        <w:autoSpaceDN w:val="0"/>
        <w:adjustRightInd w:val="0"/>
        <w:spacing w:after="0" w:line="240" w:lineRule="auto"/>
        <w:ind w:left="720" w:hanging="720"/>
        <w:rPr>
          <w:rFonts w:ascii="Times New Roman" w:hAnsi="Times New Roman" w:cs="Times New Roman"/>
          <w:sz w:val="20"/>
          <w:szCs w:val="20"/>
        </w:rPr>
      </w:pPr>
    </w:p>
    <w:p w:rsidR="00F23D1D" w:rsidRDefault="00D47081" w:rsidP="002737AA">
      <w:pPr>
        <w:autoSpaceDE w:val="0"/>
        <w:autoSpaceDN w:val="0"/>
        <w:adjustRightInd w:val="0"/>
        <w:spacing w:after="0" w:line="240" w:lineRule="auto"/>
        <w:ind w:left="720" w:hanging="720"/>
        <w:rPr>
          <w:rFonts w:ascii="Times New Roman" w:hAnsi="Times New Roman" w:cs="Times New Roman"/>
          <w:color w:val="000000" w:themeColor="text1"/>
          <w:sz w:val="20"/>
          <w:szCs w:val="20"/>
        </w:rPr>
      </w:pPr>
      <w:r w:rsidRPr="00BF1DA7">
        <w:rPr>
          <w:rFonts w:ascii="Times New Roman" w:hAnsi="Times New Roman" w:cs="Times New Roman"/>
          <w:sz w:val="20"/>
          <w:szCs w:val="20"/>
        </w:rPr>
        <w:t xml:space="preserve">Wardman, L., Aldrich, S., and Rogers, S. (2012), </w:t>
      </w:r>
      <w:r w:rsidRPr="00BF1DA7">
        <w:rPr>
          <w:rFonts w:ascii="Times New Roman" w:hAnsi="Times New Roman" w:cs="Times New Roman"/>
          <w:bCs/>
          <w:sz w:val="20"/>
          <w:szCs w:val="20"/>
        </w:rPr>
        <w:t xml:space="preserve">Item imputation of Census data in an automated production environment; advantages, disadvantages and diagnostics. </w:t>
      </w:r>
      <w:r w:rsidRPr="00BF1DA7">
        <w:rPr>
          <w:rFonts w:ascii="Times New Roman" w:hAnsi="Times New Roman" w:cs="Times New Roman"/>
          <w:color w:val="000000" w:themeColor="text1"/>
          <w:sz w:val="20"/>
          <w:szCs w:val="20"/>
        </w:rPr>
        <w:t xml:space="preserve">Available online: [06/01/2015] </w:t>
      </w:r>
      <w:hyperlink r:id="rId17" w:anchor="/" w:history="1">
        <w:r w:rsidR="00F23D1D" w:rsidRPr="00B15DEC">
          <w:rPr>
            <w:rStyle w:val="Hyperlink"/>
            <w:rFonts w:ascii="Times New Roman" w:hAnsi="Times New Roman" w:cs="Times New Roman"/>
            <w:sz w:val="20"/>
            <w:szCs w:val="20"/>
          </w:rPr>
          <w:t>http://www.unece.org/stats/documents/2012.09.sde.html#/</w:t>
        </w:r>
      </w:hyperlink>
    </w:p>
    <w:p w:rsidR="00F23D1D" w:rsidRDefault="00F23D1D" w:rsidP="002737AA">
      <w:pPr>
        <w:autoSpaceDE w:val="0"/>
        <w:autoSpaceDN w:val="0"/>
        <w:adjustRightInd w:val="0"/>
        <w:spacing w:after="0" w:line="240" w:lineRule="auto"/>
        <w:ind w:left="720" w:hanging="720"/>
        <w:rPr>
          <w:rFonts w:ascii="Times New Roman" w:hAnsi="Times New Roman" w:cs="Times New Roman"/>
          <w:color w:val="000000" w:themeColor="text1"/>
          <w:sz w:val="20"/>
          <w:szCs w:val="20"/>
        </w:rPr>
      </w:pPr>
    </w:p>
    <w:p w:rsidR="00D47081" w:rsidRDefault="00D47081" w:rsidP="002737AA">
      <w:pPr>
        <w:autoSpaceDE w:val="0"/>
        <w:autoSpaceDN w:val="0"/>
        <w:adjustRightInd w:val="0"/>
        <w:spacing w:after="0" w:line="240" w:lineRule="auto"/>
        <w:ind w:left="720" w:hanging="720"/>
        <w:rPr>
          <w:rFonts w:ascii="Times New Roman" w:hAnsi="Times New Roman" w:cs="Times New Roman"/>
          <w:sz w:val="20"/>
          <w:szCs w:val="20"/>
        </w:rPr>
      </w:pPr>
      <w:r w:rsidRPr="00BF1DA7">
        <w:rPr>
          <w:rFonts w:ascii="Times New Roman" w:hAnsi="Times New Roman" w:cs="Times New Roman"/>
          <w:sz w:val="20"/>
          <w:szCs w:val="20"/>
        </w:rPr>
        <w:t>Wardman, L., Al</w:t>
      </w:r>
      <w:r>
        <w:rPr>
          <w:rFonts w:ascii="Times New Roman" w:hAnsi="Times New Roman" w:cs="Times New Roman"/>
          <w:sz w:val="20"/>
          <w:szCs w:val="20"/>
        </w:rPr>
        <w:t>drich, S., and Rogers, S. (2014</w:t>
      </w:r>
      <w:r w:rsidRPr="00BF1DA7">
        <w:rPr>
          <w:rFonts w:ascii="Times New Roman" w:hAnsi="Times New Roman" w:cs="Times New Roman"/>
          <w:sz w:val="20"/>
          <w:szCs w:val="20"/>
        </w:rPr>
        <w:t>), 2011 Census item edit and imputation process.</w:t>
      </w:r>
      <w:r w:rsidRPr="00BF1DA7">
        <w:rPr>
          <w:rFonts w:ascii="Times New Roman" w:hAnsi="Times New Roman" w:cs="Times New Roman"/>
        </w:rPr>
        <w:t xml:space="preserve"> </w:t>
      </w:r>
      <w:r w:rsidRPr="00BF1DA7">
        <w:rPr>
          <w:rFonts w:ascii="Times New Roman" w:hAnsi="Times New Roman" w:cs="Times New Roman"/>
          <w:color w:val="000000" w:themeColor="text1"/>
          <w:sz w:val="20"/>
          <w:szCs w:val="20"/>
        </w:rPr>
        <w:t xml:space="preserve">Available online: [06/01/2015] </w:t>
      </w:r>
      <w:hyperlink r:id="rId18" w:history="1">
        <w:r w:rsidR="00753628" w:rsidRPr="00EE2931">
          <w:rPr>
            <w:rStyle w:val="Hyperlink"/>
            <w:rFonts w:ascii="Times New Roman" w:hAnsi="Times New Roman" w:cs="Times New Roman"/>
            <w:sz w:val="20"/>
            <w:szCs w:val="20"/>
          </w:rPr>
          <w:t>http://www.ons.gov.uk/ons/guide-method/census/2011/census-data/2011-census-user-guide/quality-and-methods/quality/quality-measures/response-and-imputation-rates/item-edit-and-imputation-process.pdf</w:t>
        </w:r>
      </w:hyperlink>
    </w:p>
    <w:p w:rsidR="00BF1DA7" w:rsidRPr="00BF1DA7" w:rsidRDefault="00BF1DA7" w:rsidP="00BF1DA7">
      <w:pPr>
        <w:spacing w:after="0" w:line="240" w:lineRule="auto"/>
        <w:ind w:left="777" w:hanging="720"/>
        <w:rPr>
          <w:rFonts w:ascii="Times New Roman" w:hAnsi="Times New Roman" w:cs="Times New Roman"/>
          <w:sz w:val="20"/>
          <w:szCs w:val="20"/>
        </w:rPr>
      </w:pPr>
    </w:p>
    <w:p w:rsidR="00E949ED" w:rsidRDefault="00E949ED" w:rsidP="009B3456">
      <w:pPr>
        <w:spacing w:after="0" w:line="240" w:lineRule="auto"/>
        <w:rPr>
          <w:rFonts w:ascii="Helv" w:hAnsi="Helv" w:cs="Helv"/>
          <w:color w:val="000000"/>
          <w:sz w:val="20"/>
          <w:szCs w:val="20"/>
        </w:rPr>
      </w:pPr>
    </w:p>
    <w:p w:rsidR="00E949ED" w:rsidRDefault="00E949ED" w:rsidP="009B3456">
      <w:pPr>
        <w:spacing w:after="0" w:line="240" w:lineRule="auto"/>
        <w:rPr>
          <w:rFonts w:ascii="Helv" w:hAnsi="Helv" w:cs="Helv"/>
          <w:color w:val="000000"/>
          <w:sz w:val="20"/>
          <w:szCs w:val="20"/>
        </w:rPr>
      </w:pPr>
    </w:p>
    <w:p w:rsidR="00E41C17" w:rsidRPr="005F1A92" w:rsidRDefault="00E41C17" w:rsidP="00E41C17">
      <w:pPr>
        <w:rPr>
          <w:rFonts w:eastAsiaTheme="minorEastAsia"/>
        </w:rPr>
      </w:pPr>
    </w:p>
    <w:sectPr w:rsidR="00E41C17" w:rsidRPr="005F1A92" w:rsidSect="00610BAB">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DDD" w:rsidRDefault="00AB7DDD" w:rsidP="009B3456">
      <w:pPr>
        <w:spacing w:after="0" w:line="240" w:lineRule="auto"/>
      </w:pPr>
      <w:r>
        <w:separator/>
      </w:r>
    </w:p>
  </w:endnote>
  <w:endnote w:type="continuationSeparator" w:id="0">
    <w:p w:rsidR="00AB7DDD" w:rsidRDefault="00AB7DDD" w:rsidP="009B3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23" w:rsidRDefault="001A10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23" w:rsidRDefault="001A10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DD" w:rsidRPr="009B3456" w:rsidRDefault="00AB7DDD" w:rsidP="00BD5D69">
    <w:pPr>
      <w:pStyle w:val="Footer"/>
      <w:rPr>
        <w:rFonts w:ascii="Times New Roman" w:hAnsi="Times New Roman" w:cs="Times New Roman"/>
        <w:sz w:val="20"/>
        <w:szCs w:val="20"/>
      </w:rPr>
    </w:pPr>
    <w:r w:rsidRPr="009B3456">
      <w:rPr>
        <w:rFonts w:ascii="Times New Roman" w:hAnsi="Times New Roman" w:cs="Times New Roman"/>
        <w:sz w:val="20"/>
        <w:szCs w:val="20"/>
        <w:vertAlign w:val="superscript"/>
      </w:rPr>
      <w:t xml:space="preserve">1 </w:t>
    </w:r>
    <w:r>
      <w:rPr>
        <w:rFonts w:ascii="Times New Roman" w:hAnsi="Times New Roman" w:cs="Times New Roman"/>
        <w:sz w:val="20"/>
        <w:szCs w:val="20"/>
        <w:vertAlign w:val="superscript"/>
      </w:rPr>
      <w:t xml:space="preserve"> </w:t>
    </w:r>
    <w:r w:rsidRPr="00606BB7">
      <w:rPr>
        <w:rFonts w:ascii="Times New Roman" w:hAnsi="Times New Roman" w:cs="Times New Roman"/>
        <w:sz w:val="20"/>
        <w:szCs w:val="20"/>
      </w:rPr>
      <w:t>fern.leather@ons.gsi.gov.uk;  katie.sharp@ons.gsi.gov.uk</w:t>
    </w:r>
    <w:r>
      <w:rPr>
        <w:rFonts w:ascii="Times New Roman" w:hAnsi="Times New Roman" w:cs="Times New Roman"/>
        <w:sz w:val="20"/>
        <w:szCs w:val="20"/>
      </w:rPr>
      <w:t>;</w:t>
    </w:r>
    <w:r w:rsidRPr="00DC6C85">
      <w:rPr>
        <w:rFonts w:ascii="Times New Roman" w:hAnsi="Times New Roman" w:cs="Times New Roman"/>
        <w:sz w:val="20"/>
        <w:szCs w:val="20"/>
      </w:rPr>
      <w:t xml:space="preserve"> </w:t>
    </w:r>
    <w:r>
      <w:rPr>
        <w:rFonts w:ascii="Times New Roman" w:hAnsi="Times New Roman" w:cs="Times New Roman"/>
        <w:sz w:val="20"/>
        <w:szCs w:val="20"/>
      </w:rPr>
      <w:t>steven.rogers@ons.gsi.gov.uk</w:t>
    </w:r>
    <w:r w:rsidRPr="00606BB7">
      <w:rPr>
        <w:rFonts w:ascii="Times New Roman" w:hAnsi="Times New Roman" w:cs="Times New Roman"/>
        <w:sz w:val="20"/>
        <w:szCs w:val="20"/>
      </w:rPr>
      <w:t xml:space="preserve">  </w:t>
    </w:r>
  </w:p>
  <w:p w:rsidR="00AB7DDD" w:rsidRPr="009B3456" w:rsidRDefault="00AB7DDD">
    <w:pPr>
      <w:pStyle w:val="Footer"/>
      <w:rPr>
        <w:rFonts w:ascii="Times New Roman" w:hAnsi="Times New Roman" w:cs="Times New Roman"/>
        <w:sz w:val="20"/>
        <w:szCs w:val="20"/>
      </w:rPr>
    </w:pPr>
    <w:r>
      <w:rPr>
        <w:rFonts w:ascii="Times New Roman" w:hAnsi="Times New Roman" w:cs="Times New Roman"/>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DDD" w:rsidRDefault="00AB7DDD" w:rsidP="009B3456">
      <w:pPr>
        <w:spacing w:after="0" w:line="240" w:lineRule="auto"/>
      </w:pPr>
      <w:r>
        <w:separator/>
      </w:r>
    </w:p>
  </w:footnote>
  <w:footnote w:type="continuationSeparator" w:id="0">
    <w:p w:rsidR="00AB7DDD" w:rsidRDefault="00AB7DDD" w:rsidP="009B3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23" w:rsidRDefault="001A10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23" w:rsidRDefault="001A10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23" w:rsidRPr="00965398" w:rsidRDefault="009D60FD" w:rsidP="001A1023">
    <w:pPr>
      <w:pStyle w:val="Header"/>
      <w:rPr>
        <w:rFonts w:ascii="Times New Roman" w:hAnsi="Times New Roman" w:cs="Times New Roman"/>
        <w:sz w:val="20"/>
        <w:szCs w:val="20"/>
      </w:rPr>
    </w:pPr>
    <w:r>
      <w:rPr>
        <w:rFonts w:ascii="Times New Roman" w:hAnsi="Times New Roman" w:cs="Times New Roman"/>
        <w:sz w:val="20"/>
        <w:szCs w:val="20"/>
      </w:rPr>
      <w:t>First p</w:t>
    </w:r>
    <w:r w:rsidR="001A1023">
      <w:rPr>
        <w:rFonts w:ascii="Times New Roman" w:hAnsi="Times New Roman" w:cs="Times New Roman"/>
        <w:sz w:val="20"/>
        <w:szCs w:val="20"/>
      </w:rPr>
      <w:t xml:space="preserve">resented and </w:t>
    </w:r>
    <w:r w:rsidR="00721C54">
      <w:rPr>
        <w:rFonts w:ascii="Times New Roman" w:hAnsi="Times New Roman" w:cs="Times New Roman"/>
        <w:sz w:val="20"/>
        <w:szCs w:val="20"/>
      </w:rPr>
      <w:t xml:space="preserve">to be </w:t>
    </w:r>
    <w:r w:rsidR="001A1023">
      <w:rPr>
        <w:rFonts w:ascii="Times New Roman" w:hAnsi="Times New Roman" w:cs="Times New Roman"/>
        <w:sz w:val="20"/>
        <w:szCs w:val="20"/>
      </w:rPr>
      <w:t>published in the proceedings of the 2016 International Methodology Symposium hosted by Statistics Canada</w:t>
    </w:r>
    <w:r>
      <w:rPr>
        <w:rFonts w:ascii="Times New Roman" w:hAnsi="Times New Roman" w:cs="Times New Roman"/>
        <w:sz w:val="20"/>
        <w:szCs w:val="20"/>
      </w:rPr>
      <w:t>:</w:t>
    </w:r>
    <w:r w:rsidRPr="009D60FD">
      <w:t xml:space="preserve"> </w:t>
    </w:r>
    <w:r w:rsidR="001A1023" w:rsidRPr="00965398">
      <w:rPr>
        <w:rFonts w:ascii="Times New Roman" w:hAnsi="Times New Roman" w:cs="Times New Roman"/>
        <w:sz w:val="20"/>
        <w:szCs w:val="20"/>
      </w:rPr>
      <w:t>Growth in Statistical Information: Challenges and Benefits</w:t>
    </w:r>
    <w:r w:rsidR="00431B4F">
      <w:rPr>
        <w:rFonts w:ascii="Times New Roman" w:hAnsi="Times New Roman" w:cs="Times New Roman"/>
        <w:sz w:val="20"/>
        <w:szCs w:val="20"/>
      </w:rPr>
      <w:t>.  Symposium website a</w:t>
    </w:r>
    <w:r w:rsidR="001A1023">
      <w:rPr>
        <w:rFonts w:ascii="Times New Roman" w:hAnsi="Times New Roman" w:cs="Times New Roman"/>
        <w:sz w:val="20"/>
        <w:szCs w:val="20"/>
      </w:rPr>
      <w:t>ccessed online 21/07/2016</w:t>
    </w:r>
  </w:p>
  <w:p w:rsidR="009D60FD" w:rsidRPr="001A1023" w:rsidRDefault="007F7F5C" w:rsidP="009B3456">
    <w:pPr>
      <w:pStyle w:val="Header"/>
      <w:tabs>
        <w:tab w:val="clear" w:pos="4513"/>
        <w:tab w:val="clear" w:pos="9026"/>
        <w:tab w:val="left" w:pos="6344"/>
      </w:tabs>
      <w:rPr>
        <w:rFonts w:ascii="Times New Roman" w:hAnsi="Times New Roman" w:cs="Times New Roman"/>
        <w:sz w:val="20"/>
        <w:szCs w:val="20"/>
      </w:rPr>
    </w:pPr>
    <w:hyperlink r:id="rId1" w:history="1">
      <w:r w:rsidR="001A1023" w:rsidRPr="001A1023">
        <w:rPr>
          <w:rStyle w:val="Hyperlink"/>
          <w:sz w:val="20"/>
          <w:szCs w:val="20"/>
        </w:rPr>
        <w:t>http://www.statcan.gc.ca/eng/conferences/symposium2016/index</w:t>
      </w:r>
    </w:hyperlink>
  </w:p>
  <w:p w:rsidR="00AB7DDD" w:rsidRPr="009B3456" w:rsidRDefault="00AB7DDD" w:rsidP="009B3456">
    <w:pPr>
      <w:pStyle w:val="Header"/>
      <w:tabs>
        <w:tab w:val="clear" w:pos="4513"/>
        <w:tab w:val="clear" w:pos="9026"/>
        <w:tab w:val="left" w:pos="6344"/>
      </w:tabs>
      <w:rPr>
        <w:rFonts w:ascii="Times New Roman" w:hAnsi="Times New Roman" w:cs="Times New Roman"/>
        <w:sz w:val="20"/>
        <w:szCs w:val="20"/>
      </w:rPr>
    </w:pPr>
    <w:r>
      <w:rPr>
        <w:rFonts w:ascii="Times New Roman" w:hAnsi="Times New Roman" w:cs="Times New Roman"/>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0D19"/>
    <w:multiLevelType w:val="hybridMultilevel"/>
    <w:tmpl w:val="739C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264F98"/>
    <w:multiLevelType w:val="hybridMultilevel"/>
    <w:tmpl w:val="6C64D0C4"/>
    <w:lvl w:ilvl="0" w:tplc="8DBA815C">
      <w:start w:val="1"/>
      <w:numFmt w:val="bullet"/>
      <w:lvlText w:val="•"/>
      <w:lvlJc w:val="left"/>
      <w:pPr>
        <w:tabs>
          <w:tab w:val="num" w:pos="720"/>
        </w:tabs>
        <w:ind w:left="720" w:hanging="360"/>
      </w:pPr>
      <w:rPr>
        <w:rFonts w:ascii="Arial" w:hAnsi="Arial" w:hint="default"/>
      </w:rPr>
    </w:lvl>
    <w:lvl w:ilvl="1" w:tplc="24F4259A" w:tentative="1">
      <w:start w:val="1"/>
      <w:numFmt w:val="bullet"/>
      <w:lvlText w:val="•"/>
      <w:lvlJc w:val="left"/>
      <w:pPr>
        <w:tabs>
          <w:tab w:val="num" w:pos="1440"/>
        </w:tabs>
        <w:ind w:left="1440" w:hanging="360"/>
      </w:pPr>
      <w:rPr>
        <w:rFonts w:ascii="Arial" w:hAnsi="Arial" w:hint="default"/>
      </w:rPr>
    </w:lvl>
    <w:lvl w:ilvl="2" w:tplc="0F881BC8" w:tentative="1">
      <w:start w:val="1"/>
      <w:numFmt w:val="bullet"/>
      <w:lvlText w:val="•"/>
      <w:lvlJc w:val="left"/>
      <w:pPr>
        <w:tabs>
          <w:tab w:val="num" w:pos="2160"/>
        </w:tabs>
        <w:ind w:left="2160" w:hanging="360"/>
      </w:pPr>
      <w:rPr>
        <w:rFonts w:ascii="Arial" w:hAnsi="Arial" w:hint="default"/>
      </w:rPr>
    </w:lvl>
    <w:lvl w:ilvl="3" w:tplc="458EBA92" w:tentative="1">
      <w:start w:val="1"/>
      <w:numFmt w:val="bullet"/>
      <w:lvlText w:val="•"/>
      <w:lvlJc w:val="left"/>
      <w:pPr>
        <w:tabs>
          <w:tab w:val="num" w:pos="2880"/>
        </w:tabs>
        <w:ind w:left="2880" w:hanging="360"/>
      </w:pPr>
      <w:rPr>
        <w:rFonts w:ascii="Arial" w:hAnsi="Arial" w:hint="default"/>
      </w:rPr>
    </w:lvl>
    <w:lvl w:ilvl="4" w:tplc="FDCE6118" w:tentative="1">
      <w:start w:val="1"/>
      <w:numFmt w:val="bullet"/>
      <w:lvlText w:val="•"/>
      <w:lvlJc w:val="left"/>
      <w:pPr>
        <w:tabs>
          <w:tab w:val="num" w:pos="3600"/>
        </w:tabs>
        <w:ind w:left="3600" w:hanging="360"/>
      </w:pPr>
      <w:rPr>
        <w:rFonts w:ascii="Arial" w:hAnsi="Arial" w:hint="default"/>
      </w:rPr>
    </w:lvl>
    <w:lvl w:ilvl="5" w:tplc="508ED932" w:tentative="1">
      <w:start w:val="1"/>
      <w:numFmt w:val="bullet"/>
      <w:lvlText w:val="•"/>
      <w:lvlJc w:val="left"/>
      <w:pPr>
        <w:tabs>
          <w:tab w:val="num" w:pos="4320"/>
        </w:tabs>
        <w:ind w:left="4320" w:hanging="360"/>
      </w:pPr>
      <w:rPr>
        <w:rFonts w:ascii="Arial" w:hAnsi="Arial" w:hint="default"/>
      </w:rPr>
    </w:lvl>
    <w:lvl w:ilvl="6" w:tplc="F164513E" w:tentative="1">
      <w:start w:val="1"/>
      <w:numFmt w:val="bullet"/>
      <w:lvlText w:val="•"/>
      <w:lvlJc w:val="left"/>
      <w:pPr>
        <w:tabs>
          <w:tab w:val="num" w:pos="5040"/>
        </w:tabs>
        <w:ind w:left="5040" w:hanging="360"/>
      </w:pPr>
      <w:rPr>
        <w:rFonts w:ascii="Arial" w:hAnsi="Arial" w:hint="default"/>
      </w:rPr>
    </w:lvl>
    <w:lvl w:ilvl="7" w:tplc="2880048C" w:tentative="1">
      <w:start w:val="1"/>
      <w:numFmt w:val="bullet"/>
      <w:lvlText w:val="•"/>
      <w:lvlJc w:val="left"/>
      <w:pPr>
        <w:tabs>
          <w:tab w:val="num" w:pos="5760"/>
        </w:tabs>
        <w:ind w:left="5760" w:hanging="360"/>
      </w:pPr>
      <w:rPr>
        <w:rFonts w:ascii="Arial" w:hAnsi="Arial" w:hint="default"/>
      </w:rPr>
    </w:lvl>
    <w:lvl w:ilvl="8" w:tplc="C9463E6C" w:tentative="1">
      <w:start w:val="1"/>
      <w:numFmt w:val="bullet"/>
      <w:lvlText w:val="•"/>
      <w:lvlJc w:val="left"/>
      <w:pPr>
        <w:tabs>
          <w:tab w:val="num" w:pos="6480"/>
        </w:tabs>
        <w:ind w:left="6480" w:hanging="360"/>
      </w:pPr>
      <w:rPr>
        <w:rFonts w:ascii="Arial" w:hAnsi="Arial" w:hint="default"/>
      </w:rPr>
    </w:lvl>
  </w:abstractNum>
  <w:abstractNum w:abstractNumId="2">
    <w:nsid w:val="312D3E33"/>
    <w:multiLevelType w:val="hybridMultilevel"/>
    <w:tmpl w:val="5E184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B54E4E"/>
    <w:multiLevelType w:val="hybridMultilevel"/>
    <w:tmpl w:val="69D8F68C"/>
    <w:lvl w:ilvl="0" w:tplc="13782F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15E4857"/>
    <w:multiLevelType w:val="hybridMultilevel"/>
    <w:tmpl w:val="DBC2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1C25AE"/>
    <w:multiLevelType w:val="hybridMultilevel"/>
    <w:tmpl w:val="7220D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B67AC1"/>
    <w:multiLevelType w:val="hybridMultilevel"/>
    <w:tmpl w:val="0D1095AE"/>
    <w:lvl w:ilvl="0" w:tplc="6D58279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887B6E"/>
    <w:multiLevelType w:val="multilevel"/>
    <w:tmpl w:val="B6D6ACC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7"/>
  </w:num>
  <w:num w:numId="4">
    <w:abstractNumId w:val="0"/>
  </w:num>
  <w:num w:numId="5">
    <w:abstractNumId w:val="1"/>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7DF0"/>
    <w:rsid w:val="00007E2F"/>
    <w:rsid w:val="0001073D"/>
    <w:rsid w:val="00012FD2"/>
    <w:rsid w:val="00020865"/>
    <w:rsid w:val="00020D51"/>
    <w:rsid w:val="00024522"/>
    <w:rsid w:val="00026110"/>
    <w:rsid w:val="0003103C"/>
    <w:rsid w:val="0003693C"/>
    <w:rsid w:val="00036A98"/>
    <w:rsid w:val="0004562E"/>
    <w:rsid w:val="00047C57"/>
    <w:rsid w:val="000500F4"/>
    <w:rsid w:val="00052060"/>
    <w:rsid w:val="00053761"/>
    <w:rsid w:val="00054A7B"/>
    <w:rsid w:val="0005745A"/>
    <w:rsid w:val="000579D6"/>
    <w:rsid w:val="00073BB6"/>
    <w:rsid w:val="00081B73"/>
    <w:rsid w:val="000849AD"/>
    <w:rsid w:val="0008649E"/>
    <w:rsid w:val="000878DB"/>
    <w:rsid w:val="000900F6"/>
    <w:rsid w:val="00090505"/>
    <w:rsid w:val="00092373"/>
    <w:rsid w:val="0009255D"/>
    <w:rsid w:val="00092C92"/>
    <w:rsid w:val="000931BE"/>
    <w:rsid w:val="00093B1D"/>
    <w:rsid w:val="00094087"/>
    <w:rsid w:val="0009552D"/>
    <w:rsid w:val="00096EF9"/>
    <w:rsid w:val="00097AFF"/>
    <w:rsid w:val="000A3B2F"/>
    <w:rsid w:val="000A4E74"/>
    <w:rsid w:val="000A6E76"/>
    <w:rsid w:val="000A7446"/>
    <w:rsid w:val="000A7667"/>
    <w:rsid w:val="000B0947"/>
    <w:rsid w:val="000B1562"/>
    <w:rsid w:val="000B1DE4"/>
    <w:rsid w:val="000B5756"/>
    <w:rsid w:val="000B6782"/>
    <w:rsid w:val="000B68BD"/>
    <w:rsid w:val="000B6A43"/>
    <w:rsid w:val="000B7A24"/>
    <w:rsid w:val="000C1057"/>
    <w:rsid w:val="000C2C07"/>
    <w:rsid w:val="000C42AC"/>
    <w:rsid w:val="000C66AE"/>
    <w:rsid w:val="000D5079"/>
    <w:rsid w:val="000D5C95"/>
    <w:rsid w:val="000D7CA9"/>
    <w:rsid w:val="000E1AEA"/>
    <w:rsid w:val="000E2E25"/>
    <w:rsid w:val="000F382C"/>
    <w:rsid w:val="000F3EC3"/>
    <w:rsid w:val="000F442F"/>
    <w:rsid w:val="000F5F24"/>
    <w:rsid w:val="000F79D1"/>
    <w:rsid w:val="0010119B"/>
    <w:rsid w:val="00104A9E"/>
    <w:rsid w:val="00105BE8"/>
    <w:rsid w:val="00106268"/>
    <w:rsid w:val="0010676E"/>
    <w:rsid w:val="00112FD2"/>
    <w:rsid w:val="00115DBD"/>
    <w:rsid w:val="00117FB8"/>
    <w:rsid w:val="00120210"/>
    <w:rsid w:val="001202FE"/>
    <w:rsid w:val="001227D3"/>
    <w:rsid w:val="001238FE"/>
    <w:rsid w:val="00123B4C"/>
    <w:rsid w:val="00130FEE"/>
    <w:rsid w:val="00135041"/>
    <w:rsid w:val="00135B4C"/>
    <w:rsid w:val="001375ED"/>
    <w:rsid w:val="001412FE"/>
    <w:rsid w:val="00144727"/>
    <w:rsid w:val="001452C3"/>
    <w:rsid w:val="00146584"/>
    <w:rsid w:val="001530E4"/>
    <w:rsid w:val="00153ADE"/>
    <w:rsid w:val="001541B0"/>
    <w:rsid w:val="00154A0F"/>
    <w:rsid w:val="00155453"/>
    <w:rsid w:val="00157CC9"/>
    <w:rsid w:val="00161433"/>
    <w:rsid w:val="00162ADE"/>
    <w:rsid w:val="00162DE5"/>
    <w:rsid w:val="0016488F"/>
    <w:rsid w:val="00164A90"/>
    <w:rsid w:val="00170E68"/>
    <w:rsid w:val="001739BB"/>
    <w:rsid w:val="001757F0"/>
    <w:rsid w:val="00177373"/>
    <w:rsid w:val="001813D3"/>
    <w:rsid w:val="001816CA"/>
    <w:rsid w:val="0018190F"/>
    <w:rsid w:val="00184938"/>
    <w:rsid w:val="00192C78"/>
    <w:rsid w:val="00194F0D"/>
    <w:rsid w:val="0019777F"/>
    <w:rsid w:val="001A1023"/>
    <w:rsid w:val="001A13DB"/>
    <w:rsid w:val="001A3431"/>
    <w:rsid w:val="001A5482"/>
    <w:rsid w:val="001A6DF7"/>
    <w:rsid w:val="001A7859"/>
    <w:rsid w:val="001A7D61"/>
    <w:rsid w:val="001B0342"/>
    <w:rsid w:val="001B18A8"/>
    <w:rsid w:val="001B1A6E"/>
    <w:rsid w:val="001B214E"/>
    <w:rsid w:val="001B44E4"/>
    <w:rsid w:val="001B777F"/>
    <w:rsid w:val="001C1776"/>
    <w:rsid w:val="001C2551"/>
    <w:rsid w:val="001D27AE"/>
    <w:rsid w:val="001D5495"/>
    <w:rsid w:val="001D58F2"/>
    <w:rsid w:val="001D6BAA"/>
    <w:rsid w:val="001E1588"/>
    <w:rsid w:val="001E21CA"/>
    <w:rsid w:val="001E28D3"/>
    <w:rsid w:val="001E7327"/>
    <w:rsid w:val="001F32D2"/>
    <w:rsid w:val="001F57CF"/>
    <w:rsid w:val="001F7A6C"/>
    <w:rsid w:val="001F7B67"/>
    <w:rsid w:val="00201D6E"/>
    <w:rsid w:val="0020379B"/>
    <w:rsid w:val="00204ED2"/>
    <w:rsid w:val="002073A0"/>
    <w:rsid w:val="002105C9"/>
    <w:rsid w:val="0021064C"/>
    <w:rsid w:val="00212D10"/>
    <w:rsid w:val="00213273"/>
    <w:rsid w:val="00221F0A"/>
    <w:rsid w:val="00227AB0"/>
    <w:rsid w:val="002310CF"/>
    <w:rsid w:val="00231279"/>
    <w:rsid w:val="002318C3"/>
    <w:rsid w:val="002340BF"/>
    <w:rsid w:val="002364D2"/>
    <w:rsid w:val="002364F7"/>
    <w:rsid w:val="002400AF"/>
    <w:rsid w:val="00242602"/>
    <w:rsid w:val="00244591"/>
    <w:rsid w:val="00244B6C"/>
    <w:rsid w:val="00246A04"/>
    <w:rsid w:val="0025118D"/>
    <w:rsid w:val="00251593"/>
    <w:rsid w:val="00252C95"/>
    <w:rsid w:val="00256E9F"/>
    <w:rsid w:val="00257FBB"/>
    <w:rsid w:val="002600E9"/>
    <w:rsid w:val="002659F2"/>
    <w:rsid w:val="00265A27"/>
    <w:rsid w:val="002669B1"/>
    <w:rsid w:val="00270579"/>
    <w:rsid w:val="002711C7"/>
    <w:rsid w:val="00271363"/>
    <w:rsid w:val="002715DD"/>
    <w:rsid w:val="002737AA"/>
    <w:rsid w:val="00273DA2"/>
    <w:rsid w:val="002773B6"/>
    <w:rsid w:val="00281125"/>
    <w:rsid w:val="0028799A"/>
    <w:rsid w:val="0029629E"/>
    <w:rsid w:val="00296460"/>
    <w:rsid w:val="002A11A2"/>
    <w:rsid w:val="002A3DF7"/>
    <w:rsid w:val="002B270F"/>
    <w:rsid w:val="002B6754"/>
    <w:rsid w:val="002B74B0"/>
    <w:rsid w:val="002C4293"/>
    <w:rsid w:val="002C56DD"/>
    <w:rsid w:val="002C5829"/>
    <w:rsid w:val="002C6141"/>
    <w:rsid w:val="002C682F"/>
    <w:rsid w:val="002D00B4"/>
    <w:rsid w:val="002D3B8F"/>
    <w:rsid w:val="002E30F5"/>
    <w:rsid w:val="002E3E7F"/>
    <w:rsid w:val="002E6F6F"/>
    <w:rsid w:val="002E7D0D"/>
    <w:rsid w:val="002F00B8"/>
    <w:rsid w:val="002F14C6"/>
    <w:rsid w:val="002F187D"/>
    <w:rsid w:val="002F1AA1"/>
    <w:rsid w:val="002F2FAF"/>
    <w:rsid w:val="002F31AB"/>
    <w:rsid w:val="002F3E69"/>
    <w:rsid w:val="002F53BD"/>
    <w:rsid w:val="003001C8"/>
    <w:rsid w:val="003014EF"/>
    <w:rsid w:val="00303FE7"/>
    <w:rsid w:val="00304BA5"/>
    <w:rsid w:val="00304EB2"/>
    <w:rsid w:val="003069A2"/>
    <w:rsid w:val="00307EB9"/>
    <w:rsid w:val="00310A54"/>
    <w:rsid w:val="00313994"/>
    <w:rsid w:val="003144E0"/>
    <w:rsid w:val="00314E20"/>
    <w:rsid w:val="00314FA9"/>
    <w:rsid w:val="00321228"/>
    <w:rsid w:val="00324797"/>
    <w:rsid w:val="00325A3D"/>
    <w:rsid w:val="00325F47"/>
    <w:rsid w:val="003266EF"/>
    <w:rsid w:val="00331F04"/>
    <w:rsid w:val="0033367E"/>
    <w:rsid w:val="00335005"/>
    <w:rsid w:val="00335251"/>
    <w:rsid w:val="003360F0"/>
    <w:rsid w:val="0033791F"/>
    <w:rsid w:val="00340AD6"/>
    <w:rsid w:val="00346FE5"/>
    <w:rsid w:val="003475AF"/>
    <w:rsid w:val="00347625"/>
    <w:rsid w:val="003521B5"/>
    <w:rsid w:val="00352D53"/>
    <w:rsid w:val="00353A70"/>
    <w:rsid w:val="00356263"/>
    <w:rsid w:val="003614CC"/>
    <w:rsid w:val="0036242F"/>
    <w:rsid w:val="0036613A"/>
    <w:rsid w:val="00366844"/>
    <w:rsid w:val="00367CCC"/>
    <w:rsid w:val="003744DE"/>
    <w:rsid w:val="00381984"/>
    <w:rsid w:val="00382A63"/>
    <w:rsid w:val="00382B9B"/>
    <w:rsid w:val="00382FD8"/>
    <w:rsid w:val="00385A32"/>
    <w:rsid w:val="003A06C3"/>
    <w:rsid w:val="003A0867"/>
    <w:rsid w:val="003A1D80"/>
    <w:rsid w:val="003A2A98"/>
    <w:rsid w:val="003A66C4"/>
    <w:rsid w:val="003A6AF7"/>
    <w:rsid w:val="003A7154"/>
    <w:rsid w:val="003A78B2"/>
    <w:rsid w:val="003B3455"/>
    <w:rsid w:val="003B6776"/>
    <w:rsid w:val="003C0F94"/>
    <w:rsid w:val="003C219D"/>
    <w:rsid w:val="003C23FA"/>
    <w:rsid w:val="003C47E1"/>
    <w:rsid w:val="003C6BCB"/>
    <w:rsid w:val="003C733E"/>
    <w:rsid w:val="003D074E"/>
    <w:rsid w:val="003E047B"/>
    <w:rsid w:val="003E227E"/>
    <w:rsid w:val="003E546F"/>
    <w:rsid w:val="003E5ECB"/>
    <w:rsid w:val="003E6803"/>
    <w:rsid w:val="003E7F37"/>
    <w:rsid w:val="003F2071"/>
    <w:rsid w:val="003F54E1"/>
    <w:rsid w:val="00400C96"/>
    <w:rsid w:val="0040108C"/>
    <w:rsid w:val="0040439D"/>
    <w:rsid w:val="00410665"/>
    <w:rsid w:val="00410716"/>
    <w:rsid w:val="004116D4"/>
    <w:rsid w:val="004141A0"/>
    <w:rsid w:val="004155CB"/>
    <w:rsid w:val="00416BF1"/>
    <w:rsid w:val="00417C25"/>
    <w:rsid w:val="00420061"/>
    <w:rsid w:val="00420407"/>
    <w:rsid w:val="0042041B"/>
    <w:rsid w:val="0042061C"/>
    <w:rsid w:val="00421567"/>
    <w:rsid w:val="00421D30"/>
    <w:rsid w:val="00422713"/>
    <w:rsid w:val="00424EB0"/>
    <w:rsid w:val="004304E4"/>
    <w:rsid w:val="00430803"/>
    <w:rsid w:val="00431B4F"/>
    <w:rsid w:val="004323EA"/>
    <w:rsid w:val="004337A7"/>
    <w:rsid w:val="00435FC3"/>
    <w:rsid w:val="00436DA7"/>
    <w:rsid w:val="00441A44"/>
    <w:rsid w:val="0044471A"/>
    <w:rsid w:val="00446779"/>
    <w:rsid w:val="00447603"/>
    <w:rsid w:val="00450B93"/>
    <w:rsid w:val="004522D7"/>
    <w:rsid w:val="004525FB"/>
    <w:rsid w:val="004537F8"/>
    <w:rsid w:val="004550A0"/>
    <w:rsid w:val="00457187"/>
    <w:rsid w:val="00460A7F"/>
    <w:rsid w:val="0046371D"/>
    <w:rsid w:val="004638BC"/>
    <w:rsid w:val="0046535A"/>
    <w:rsid w:val="004653A1"/>
    <w:rsid w:val="004656D9"/>
    <w:rsid w:val="004716F9"/>
    <w:rsid w:val="00471F23"/>
    <w:rsid w:val="00473D66"/>
    <w:rsid w:val="0047480E"/>
    <w:rsid w:val="0047485D"/>
    <w:rsid w:val="00481751"/>
    <w:rsid w:val="0048252F"/>
    <w:rsid w:val="004839EC"/>
    <w:rsid w:val="00483A3D"/>
    <w:rsid w:val="00483DD6"/>
    <w:rsid w:val="004908A2"/>
    <w:rsid w:val="004A14FB"/>
    <w:rsid w:val="004A1EC7"/>
    <w:rsid w:val="004A3C10"/>
    <w:rsid w:val="004A464A"/>
    <w:rsid w:val="004A47BB"/>
    <w:rsid w:val="004A7499"/>
    <w:rsid w:val="004B7B9E"/>
    <w:rsid w:val="004B7C9B"/>
    <w:rsid w:val="004C0139"/>
    <w:rsid w:val="004C332C"/>
    <w:rsid w:val="004C3E44"/>
    <w:rsid w:val="004C5A49"/>
    <w:rsid w:val="004C681E"/>
    <w:rsid w:val="004C6B52"/>
    <w:rsid w:val="004D255A"/>
    <w:rsid w:val="004E121B"/>
    <w:rsid w:val="004E5A72"/>
    <w:rsid w:val="004E62D9"/>
    <w:rsid w:val="004E64BF"/>
    <w:rsid w:val="004E6AB2"/>
    <w:rsid w:val="004F450A"/>
    <w:rsid w:val="004F7FB7"/>
    <w:rsid w:val="00500D97"/>
    <w:rsid w:val="00501F42"/>
    <w:rsid w:val="005040DF"/>
    <w:rsid w:val="00504E68"/>
    <w:rsid w:val="0050545E"/>
    <w:rsid w:val="005078FC"/>
    <w:rsid w:val="00513FBA"/>
    <w:rsid w:val="0051522E"/>
    <w:rsid w:val="005163EA"/>
    <w:rsid w:val="00517473"/>
    <w:rsid w:val="0051794D"/>
    <w:rsid w:val="005201C0"/>
    <w:rsid w:val="00520D4E"/>
    <w:rsid w:val="005259BB"/>
    <w:rsid w:val="00527D79"/>
    <w:rsid w:val="00533AF6"/>
    <w:rsid w:val="00536628"/>
    <w:rsid w:val="00541E49"/>
    <w:rsid w:val="005425E6"/>
    <w:rsid w:val="00542FC5"/>
    <w:rsid w:val="00552162"/>
    <w:rsid w:val="005528F5"/>
    <w:rsid w:val="00555972"/>
    <w:rsid w:val="005607B1"/>
    <w:rsid w:val="005634A7"/>
    <w:rsid w:val="005645C4"/>
    <w:rsid w:val="00564A03"/>
    <w:rsid w:val="00565B9D"/>
    <w:rsid w:val="005664A3"/>
    <w:rsid w:val="005712BC"/>
    <w:rsid w:val="005730F1"/>
    <w:rsid w:val="00574E24"/>
    <w:rsid w:val="0057663B"/>
    <w:rsid w:val="005851CB"/>
    <w:rsid w:val="005861E6"/>
    <w:rsid w:val="00586734"/>
    <w:rsid w:val="005920EF"/>
    <w:rsid w:val="005925AE"/>
    <w:rsid w:val="005929C9"/>
    <w:rsid w:val="00592A69"/>
    <w:rsid w:val="0059345E"/>
    <w:rsid w:val="0059411F"/>
    <w:rsid w:val="0059544D"/>
    <w:rsid w:val="005A01F6"/>
    <w:rsid w:val="005A0779"/>
    <w:rsid w:val="005A11CF"/>
    <w:rsid w:val="005B32C8"/>
    <w:rsid w:val="005B436D"/>
    <w:rsid w:val="005B5057"/>
    <w:rsid w:val="005B57FF"/>
    <w:rsid w:val="005B7348"/>
    <w:rsid w:val="005C0965"/>
    <w:rsid w:val="005C65BC"/>
    <w:rsid w:val="005D3C7C"/>
    <w:rsid w:val="005D557C"/>
    <w:rsid w:val="005D5A23"/>
    <w:rsid w:val="005D752A"/>
    <w:rsid w:val="005D7EB5"/>
    <w:rsid w:val="005E2837"/>
    <w:rsid w:val="005E3DDD"/>
    <w:rsid w:val="005E492B"/>
    <w:rsid w:val="005E5871"/>
    <w:rsid w:val="005E58AD"/>
    <w:rsid w:val="005F0775"/>
    <w:rsid w:val="005F1A92"/>
    <w:rsid w:val="005F21F5"/>
    <w:rsid w:val="005F3A65"/>
    <w:rsid w:val="005F65FE"/>
    <w:rsid w:val="00600F6A"/>
    <w:rsid w:val="00610158"/>
    <w:rsid w:val="00610BAB"/>
    <w:rsid w:val="00612AA6"/>
    <w:rsid w:val="00613876"/>
    <w:rsid w:val="00614C18"/>
    <w:rsid w:val="006160E6"/>
    <w:rsid w:val="006162B7"/>
    <w:rsid w:val="00617E62"/>
    <w:rsid w:val="006200B9"/>
    <w:rsid w:val="00621582"/>
    <w:rsid w:val="006217A6"/>
    <w:rsid w:val="00625AD3"/>
    <w:rsid w:val="00625BE0"/>
    <w:rsid w:val="006408A3"/>
    <w:rsid w:val="00645207"/>
    <w:rsid w:val="0066278E"/>
    <w:rsid w:val="0066327D"/>
    <w:rsid w:val="006666AB"/>
    <w:rsid w:val="00672D85"/>
    <w:rsid w:val="00672D96"/>
    <w:rsid w:val="00680053"/>
    <w:rsid w:val="00683B59"/>
    <w:rsid w:val="00683BDC"/>
    <w:rsid w:val="00690850"/>
    <w:rsid w:val="00694086"/>
    <w:rsid w:val="006948E5"/>
    <w:rsid w:val="00695191"/>
    <w:rsid w:val="006956A8"/>
    <w:rsid w:val="006A4AF8"/>
    <w:rsid w:val="006B35DA"/>
    <w:rsid w:val="006B5502"/>
    <w:rsid w:val="006B75EC"/>
    <w:rsid w:val="006C2DDC"/>
    <w:rsid w:val="006C5509"/>
    <w:rsid w:val="006D0ACA"/>
    <w:rsid w:val="006D4A98"/>
    <w:rsid w:val="006D4DFD"/>
    <w:rsid w:val="006D67C4"/>
    <w:rsid w:val="006E3096"/>
    <w:rsid w:val="006E7DB9"/>
    <w:rsid w:val="006F1527"/>
    <w:rsid w:val="006F2636"/>
    <w:rsid w:val="006F2E01"/>
    <w:rsid w:val="006F37CD"/>
    <w:rsid w:val="007013CA"/>
    <w:rsid w:val="007018B2"/>
    <w:rsid w:val="00701973"/>
    <w:rsid w:val="00704A2D"/>
    <w:rsid w:val="00712898"/>
    <w:rsid w:val="00713459"/>
    <w:rsid w:val="0071353E"/>
    <w:rsid w:val="00713F40"/>
    <w:rsid w:val="007160F4"/>
    <w:rsid w:val="00717338"/>
    <w:rsid w:val="00721C54"/>
    <w:rsid w:val="00724487"/>
    <w:rsid w:val="007263DD"/>
    <w:rsid w:val="00727E03"/>
    <w:rsid w:val="0073044E"/>
    <w:rsid w:val="0073257E"/>
    <w:rsid w:val="00732A37"/>
    <w:rsid w:val="00733768"/>
    <w:rsid w:val="00737F4A"/>
    <w:rsid w:val="00745F60"/>
    <w:rsid w:val="00746022"/>
    <w:rsid w:val="00753628"/>
    <w:rsid w:val="007553F3"/>
    <w:rsid w:val="007563BB"/>
    <w:rsid w:val="007571D5"/>
    <w:rsid w:val="00760267"/>
    <w:rsid w:val="007624FE"/>
    <w:rsid w:val="00763477"/>
    <w:rsid w:val="0076375B"/>
    <w:rsid w:val="00764496"/>
    <w:rsid w:val="0076794D"/>
    <w:rsid w:val="0077328E"/>
    <w:rsid w:val="00774162"/>
    <w:rsid w:val="00775E9C"/>
    <w:rsid w:val="007779F3"/>
    <w:rsid w:val="007814B5"/>
    <w:rsid w:val="00781C58"/>
    <w:rsid w:val="00783A26"/>
    <w:rsid w:val="00784AC1"/>
    <w:rsid w:val="00786576"/>
    <w:rsid w:val="00786E1A"/>
    <w:rsid w:val="00787A3D"/>
    <w:rsid w:val="00790F70"/>
    <w:rsid w:val="00791077"/>
    <w:rsid w:val="00792E11"/>
    <w:rsid w:val="00794CC2"/>
    <w:rsid w:val="00797FF8"/>
    <w:rsid w:val="007A015C"/>
    <w:rsid w:val="007A15E1"/>
    <w:rsid w:val="007B0134"/>
    <w:rsid w:val="007B3A0B"/>
    <w:rsid w:val="007B6A7F"/>
    <w:rsid w:val="007C0CB9"/>
    <w:rsid w:val="007C2B17"/>
    <w:rsid w:val="007C3271"/>
    <w:rsid w:val="007C4A9B"/>
    <w:rsid w:val="007C5150"/>
    <w:rsid w:val="007C6CAB"/>
    <w:rsid w:val="007C6E50"/>
    <w:rsid w:val="007C6E51"/>
    <w:rsid w:val="007D4D81"/>
    <w:rsid w:val="007E0FB5"/>
    <w:rsid w:val="007E159F"/>
    <w:rsid w:val="007E3DCF"/>
    <w:rsid w:val="007E4530"/>
    <w:rsid w:val="007F157C"/>
    <w:rsid w:val="007F3BDD"/>
    <w:rsid w:val="007F5959"/>
    <w:rsid w:val="007F6A8F"/>
    <w:rsid w:val="007F7F5C"/>
    <w:rsid w:val="00800056"/>
    <w:rsid w:val="00800381"/>
    <w:rsid w:val="0080240F"/>
    <w:rsid w:val="008032BD"/>
    <w:rsid w:val="008036FB"/>
    <w:rsid w:val="008042BB"/>
    <w:rsid w:val="00804882"/>
    <w:rsid w:val="00805591"/>
    <w:rsid w:val="00805CCA"/>
    <w:rsid w:val="00812367"/>
    <w:rsid w:val="00812B2C"/>
    <w:rsid w:val="0081458B"/>
    <w:rsid w:val="00815671"/>
    <w:rsid w:val="00815DAA"/>
    <w:rsid w:val="00817BA7"/>
    <w:rsid w:val="00824686"/>
    <w:rsid w:val="00826565"/>
    <w:rsid w:val="008277CD"/>
    <w:rsid w:val="00834CB2"/>
    <w:rsid w:val="00835BBD"/>
    <w:rsid w:val="008367B8"/>
    <w:rsid w:val="0085056B"/>
    <w:rsid w:val="00851E3F"/>
    <w:rsid w:val="008521B9"/>
    <w:rsid w:val="0085243E"/>
    <w:rsid w:val="008525FD"/>
    <w:rsid w:val="00853F2B"/>
    <w:rsid w:val="008627FE"/>
    <w:rsid w:val="00862B18"/>
    <w:rsid w:val="00870779"/>
    <w:rsid w:val="00871618"/>
    <w:rsid w:val="00872F53"/>
    <w:rsid w:val="00874B60"/>
    <w:rsid w:val="008751B7"/>
    <w:rsid w:val="00875A2B"/>
    <w:rsid w:val="00877C49"/>
    <w:rsid w:val="00881E0B"/>
    <w:rsid w:val="008831BF"/>
    <w:rsid w:val="008832BA"/>
    <w:rsid w:val="00883712"/>
    <w:rsid w:val="0088416E"/>
    <w:rsid w:val="00884C24"/>
    <w:rsid w:val="00886491"/>
    <w:rsid w:val="00892288"/>
    <w:rsid w:val="00892FEF"/>
    <w:rsid w:val="008937F4"/>
    <w:rsid w:val="008939A7"/>
    <w:rsid w:val="0089448C"/>
    <w:rsid w:val="0089627B"/>
    <w:rsid w:val="008966D9"/>
    <w:rsid w:val="00897E1F"/>
    <w:rsid w:val="008A2A3E"/>
    <w:rsid w:val="008A60D4"/>
    <w:rsid w:val="008B07BB"/>
    <w:rsid w:val="008B134B"/>
    <w:rsid w:val="008B48D9"/>
    <w:rsid w:val="008C0D24"/>
    <w:rsid w:val="008C29A4"/>
    <w:rsid w:val="008C64FD"/>
    <w:rsid w:val="008C666C"/>
    <w:rsid w:val="008C718E"/>
    <w:rsid w:val="008D3FAE"/>
    <w:rsid w:val="008D598D"/>
    <w:rsid w:val="008D60B6"/>
    <w:rsid w:val="008D7129"/>
    <w:rsid w:val="008E2618"/>
    <w:rsid w:val="008E46A2"/>
    <w:rsid w:val="008F02B7"/>
    <w:rsid w:val="008F40C8"/>
    <w:rsid w:val="008F7CD1"/>
    <w:rsid w:val="00900240"/>
    <w:rsid w:val="00900D00"/>
    <w:rsid w:val="0090164A"/>
    <w:rsid w:val="00902DAC"/>
    <w:rsid w:val="00911A6A"/>
    <w:rsid w:val="00911B8A"/>
    <w:rsid w:val="0091444C"/>
    <w:rsid w:val="00917269"/>
    <w:rsid w:val="00925224"/>
    <w:rsid w:val="00925D8D"/>
    <w:rsid w:val="00926A5A"/>
    <w:rsid w:val="00927C8A"/>
    <w:rsid w:val="00931567"/>
    <w:rsid w:val="00932EE4"/>
    <w:rsid w:val="00933ECB"/>
    <w:rsid w:val="00944072"/>
    <w:rsid w:val="009443D1"/>
    <w:rsid w:val="00944AD5"/>
    <w:rsid w:val="0095320A"/>
    <w:rsid w:val="00954D2C"/>
    <w:rsid w:val="009617DD"/>
    <w:rsid w:val="009633C8"/>
    <w:rsid w:val="00965398"/>
    <w:rsid w:val="009656C0"/>
    <w:rsid w:val="00970100"/>
    <w:rsid w:val="00970E84"/>
    <w:rsid w:val="0097133C"/>
    <w:rsid w:val="00972D8E"/>
    <w:rsid w:val="0097314A"/>
    <w:rsid w:val="009748D1"/>
    <w:rsid w:val="00982B5D"/>
    <w:rsid w:val="0098405D"/>
    <w:rsid w:val="009844A4"/>
    <w:rsid w:val="00984ABF"/>
    <w:rsid w:val="0098599D"/>
    <w:rsid w:val="00992C01"/>
    <w:rsid w:val="009956E9"/>
    <w:rsid w:val="00995BEF"/>
    <w:rsid w:val="00996CF6"/>
    <w:rsid w:val="009A3901"/>
    <w:rsid w:val="009A5991"/>
    <w:rsid w:val="009B07A3"/>
    <w:rsid w:val="009B144C"/>
    <w:rsid w:val="009B2CDF"/>
    <w:rsid w:val="009B3456"/>
    <w:rsid w:val="009B7044"/>
    <w:rsid w:val="009C158A"/>
    <w:rsid w:val="009C1B3F"/>
    <w:rsid w:val="009C2937"/>
    <w:rsid w:val="009C53CC"/>
    <w:rsid w:val="009D0364"/>
    <w:rsid w:val="009D1490"/>
    <w:rsid w:val="009D2C0D"/>
    <w:rsid w:val="009D60FD"/>
    <w:rsid w:val="009E58CD"/>
    <w:rsid w:val="009E5A3F"/>
    <w:rsid w:val="009F0AFB"/>
    <w:rsid w:val="009F22E3"/>
    <w:rsid w:val="009F4011"/>
    <w:rsid w:val="009F48E6"/>
    <w:rsid w:val="009F6B9E"/>
    <w:rsid w:val="009F7F5A"/>
    <w:rsid w:val="00A01460"/>
    <w:rsid w:val="00A024BA"/>
    <w:rsid w:val="00A02843"/>
    <w:rsid w:val="00A06974"/>
    <w:rsid w:val="00A15A08"/>
    <w:rsid w:val="00A1715B"/>
    <w:rsid w:val="00A20BBE"/>
    <w:rsid w:val="00A20DD3"/>
    <w:rsid w:val="00A21D47"/>
    <w:rsid w:val="00A222D7"/>
    <w:rsid w:val="00A22775"/>
    <w:rsid w:val="00A2427A"/>
    <w:rsid w:val="00A25221"/>
    <w:rsid w:val="00A2640D"/>
    <w:rsid w:val="00A26E9E"/>
    <w:rsid w:val="00A26F9F"/>
    <w:rsid w:val="00A30097"/>
    <w:rsid w:val="00A300DA"/>
    <w:rsid w:val="00A32219"/>
    <w:rsid w:val="00A32FB1"/>
    <w:rsid w:val="00A34C07"/>
    <w:rsid w:val="00A357E1"/>
    <w:rsid w:val="00A36789"/>
    <w:rsid w:val="00A421E2"/>
    <w:rsid w:val="00A43B56"/>
    <w:rsid w:val="00A44654"/>
    <w:rsid w:val="00A510D3"/>
    <w:rsid w:val="00A56952"/>
    <w:rsid w:val="00A60F59"/>
    <w:rsid w:val="00A6178E"/>
    <w:rsid w:val="00A666B9"/>
    <w:rsid w:val="00A71FE4"/>
    <w:rsid w:val="00A74F09"/>
    <w:rsid w:val="00A759CE"/>
    <w:rsid w:val="00A764A3"/>
    <w:rsid w:val="00A765DB"/>
    <w:rsid w:val="00A86E5D"/>
    <w:rsid w:val="00A91D17"/>
    <w:rsid w:val="00A9283B"/>
    <w:rsid w:val="00A92D2F"/>
    <w:rsid w:val="00A9462A"/>
    <w:rsid w:val="00A94D34"/>
    <w:rsid w:val="00A95064"/>
    <w:rsid w:val="00A96396"/>
    <w:rsid w:val="00AA1E60"/>
    <w:rsid w:val="00AA4C37"/>
    <w:rsid w:val="00AA4C6E"/>
    <w:rsid w:val="00AA57C0"/>
    <w:rsid w:val="00AA5A22"/>
    <w:rsid w:val="00AB0F66"/>
    <w:rsid w:val="00AB123F"/>
    <w:rsid w:val="00AB461A"/>
    <w:rsid w:val="00AB7DDD"/>
    <w:rsid w:val="00AC2B00"/>
    <w:rsid w:val="00AC531F"/>
    <w:rsid w:val="00AC53C2"/>
    <w:rsid w:val="00AC77F7"/>
    <w:rsid w:val="00AD12CC"/>
    <w:rsid w:val="00AD4554"/>
    <w:rsid w:val="00AD48AE"/>
    <w:rsid w:val="00AD6251"/>
    <w:rsid w:val="00AF20C3"/>
    <w:rsid w:val="00AF40A6"/>
    <w:rsid w:val="00AF4F8C"/>
    <w:rsid w:val="00AF50B2"/>
    <w:rsid w:val="00AF5400"/>
    <w:rsid w:val="00AF5544"/>
    <w:rsid w:val="00AF5FDF"/>
    <w:rsid w:val="00AF67BC"/>
    <w:rsid w:val="00AF6FFA"/>
    <w:rsid w:val="00AF7546"/>
    <w:rsid w:val="00B02B0D"/>
    <w:rsid w:val="00B03020"/>
    <w:rsid w:val="00B06F6E"/>
    <w:rsid w:val="00B07B8E"/>
    <w:rsid w:val="00B14C93"/>
    <w:rsid w:val="00B16972"/>
    <w:rsid w:val="00B1720F"/>
    <w:rsid w:val="00B1725E"/>
    <w:rsid w:val="00B200AD"/>
    <w:rsid w:val="00B20604"/>
    <w:rsid w:val="00B2147D"/>
    <w:rsid w:val="00B2160B"/>
    <w:rsid w:val="00B329B0"/>
    <w:rsid w:val="00B35443"/>
    <w:rsid w:val="00B36085"/>
    <w:rsid w:val="00B36456"/>
    <w:rsid w:val="00B40FA6"/>
    <w:rsid w:val="00B413F8"/>
    <w:rsid w:val="00B446C8"/>
    <w:rsid w:val="00B458C6"/>
    <w:rsid w:val="00B45FF9"/>
    <w:rsid w:val="00B505FB"/>
    <w:rsid w:val="00B50C3A"/>
    <w:rsid w:val="00B54941"/>
    <w:rsid w:val="00B579D8"/>
    <w:rsid w:val="00B639F3"/>
    <w:rsid w:val="00B71026"/>
    <w:rsid w:val="00B711B9"/>
    <w:rsid w:val="00B727C0"/>
    <w:rsid w:val="00B73011"/>
    <w:rsid w:val="00B73283"/>
    <w:rsid w:val="00B73C91"/>
    <w:rsid w:val="00B80EEA"/>
    <w:rsid w:val="00B81AC9"/>
    <w:rsid w:val="00B8224D"/>
    <w:rsid w:val="00B82B7D"/>
    <w:rsid w:val="00B82D50"/>
    <w:rsid w:val="00B82D97"/>
    <w:rsid w:val="00B8476B"/>
    <w:rsid w:val="00B85CDC"/>
    <w:rsid w:val="00B85FD5"/>
    <w:rsid w:val="00B8666B"/>
    <w:rsid w:val="00B87C2D"/>
    <w:rsid w:val="00B91E20"/>
    <w:rsid w:val="00B93445"/>
    <w:rsid w:val="00B93490"/>
    <w:rsid w:val="00B95925"/>
    <w:rsid w:val="00B961D6"/>
    <w:rsid w:val="00BA068F"/>
    <w:rsid w:val="00BA3A55"/>
    <w:rsid w:val="00BA73D2"/>
    <w:rsid w:val="00BB0E27"/>
    <w:rsid w:val="00BB1918"/>
    <w:rsid w:val="00BB3347"/>
    <w:rsid w:val="00BB4D80"/>
    <w:rsid w:val="00BC3985"/>
    <w:rsid w:val="00BD0EE8"/>
    <w:rsid w:val="00BD1274"/>
    <w:rsid w:val="00BD488E"/>
    <w:rsid w:val="00BD4C7A"/>
    <w:rsid w:val="00BD5D69"/>
    <w:rsid w:val="00BE0F9B"/>
    <w:rsid w:val="00BE1B4D"/>
    <w:rsid w:val="00BE27FE"/>
    <w:rsid w:val="00BE2E93"/>
    <w:rsid w:val="00BE4AAF"/>
    <w:rsid w:val="00BE5055"/>
    <w:rsid w:val="00BF1248"/>
    <w:rsid w:val="00BF1CB5"/>
    <w:rsid w:val="00BF1DA7"/>
    <w:rsid w:val="00BF2623"/>
    <w:rsid w:val="00BF335C"/>
    <w:rsid w:val="00BF3F40"/>
    <w:rsid w:val="00BF71D4"/>
    <w:rsid w:val="00C022F1"/>
    <w:rsid w:val="00C03FCC"/>
    <w:rsid w:val="00C06355"/>
    <w:rsid w:val="00C10856"/>
    <w:rsid w:val="00C10D44"/>
    <w:rsid w:val="00C11085"/>
    <w:rsid w:val="00C123A8"/>
    <w:rsid w:val="00C14580"/>
    <w:rsid w:val="00C22064"/>
    <w:rsid w:val="00C233CB"/>
    <w:rsid w:val="00C23DFE"/>
    <w:rsid w:val="00C2446C"/>
    <w:rsid w:val="00C24936"/>
    <w:rsid w:val="00C27E53"/>
    <w:rsid w:val="00C32BF3"/>
    <w:rsid w:val="00C35F9D"/>
    <w:rsid w:val="00C369D8"/>
    <w:rsid w:val="00C401DC"/>
    <w:rsid w:val="00C40E22"/>
    <w:rsid w:val="00C41227"/>
    <w:rsid w:val="00C45100"/>
    <w:rsid w:val="00C458D1"/>
    <w:rsid w:val="00C54A4C"/>
    <w:rsid w:val="00C64369"/>
    <w:rsid w:val="00C707DC"/>
    <w:rsid w:val="00C72A66"/>
    <w:rsid w:val="00C764B6"/>
    <w:rsid w:val="00C7715E"/>
    <w:rsid w:val="00C77D4A"/>
    <w:rsid w:val="00C812A5"/>
    <w:rsid w:val="00C8456A"/>
    <w:rsid w:val="00C91FF4"/>
    <w:rsid w:val="00C92276"/>
    <w:rsid w:val="00C92B7A"/>
    <w:rsid w:val="00C945BB"/>
    <w:rsid w:val="00C95FD8"/>
    <w:rsid w:val="00C96391"/>
    <w:rsid w:val="00C96C23"/>
    <w:rsid w:val="00C973D5"/>
    <w:rsid w:val="00C97E1D"/>
    <w:rsid w:val="00CA119C"/>
    <w:rsid w:val="00CA1FEC"/>
    <w:rsid w:val="00CA3586"/>
    <w:rsid w:val="00CB1D7F"/>
    <w:rsid w:val="00CB3F27"/>
    <w:rsid w:val="00CB7DCF"/>
    <w:rsid w:val="00CC0128"/>
    <w:rsid w:val="00CC13B6"/>
    <w:rsid w:val="00CC2D3E"/>
    <w:rsid w:val="00CC5985"/>
    <w:rsid w:val="00CC5D6E"/>
    <w:rsid w:val="00CD15CB"/>
    <w:rsid w:val="00CD2618"/>
    <w:rsid w:val="00CD3A49"/>
    <w:rsid w:val="00CE100E"/>
    <w:rsid w:val="00CE3EBB"/>
    <w:rsid w:val="00CF3BDB"/>
    <w:rsid w:val="00CF6729"/>
    <w:rsid w:val="00D052C7"/>
    <w:rsid w:val="00D064EE"/>
    <w:rsid w:val="00D1019E"/>
    <w:rsid w:val="00D10866"/>
    <w:rsid w:val="00D14E8C"/>
    <w:rsid w:val="00D168B2"/>
    <w:rsid w:val="00D212D8"/>
    <w:rsid w:val="00D213C2"/>
    <w:rsid w:val="00D2187D"/>
    <w:rsid w:val="00D22033"/>
    <w:rsid w:val="00D32EB3"/>
    <w:rsid w:val="00D3372A"/>
    <w:rsid w:val="00D3457C"/>
    <w:rsid w:val="00D3490D"/>
    <w:rsid w:val="00D3502E"/>
    <w:rsid w:val="00D42C6B"/>
    <w:rsid w:val="00D4464E"/>
    <w:rsid w:val="00D449FD"/>
    <w:rsid w:val="00D45B19"/>
    <w:rsid w:val="00D47081"/>
    <w:rsid w:val="00D47323"/>
    <w:rsid w:val="00D54354"/>
    <w:rsid w:val="00D54763"/>
    <w:rsid w:val="00D54932"/>
    <w:rsid w:val="00D603E9"/>
    <w:rsid w:val="00D61052"/>
    <w:rsid w:val="00D61B97"/>
    <w:rsid w:val="00D61CF7"/>
    <w:rsid w:val="00D65348"/>
    <w:rsid w:val="00D66CC4"/>
    <w:rsid w:val="00D90513"/>
    <w:rsid w:val="00D90D5D"/>
    <w:rsid w:val="00D91B5A"/>
    <w:rsid w:val="00D9208C"/>
    <w:rsid w:val="00D956F7"/>
    <w:rsid w:val="00D97557"/>
    <w:rsid w:val="00DA0B7C"/>
    <w:rsid w:val="00DB165C"/>
    <w:rsid w:val="00DB362C"/>
    <w:rsid w:val="00DB4C87"/>
    <w:rsid w:val="00DB756F"/>
    <w:rsid w:val="00DC285A"/>
    <w:rsid w:val="00DC3D29"/>
    <w:rsid w:val="00DC6C85"/>
    <w:rsid w:val="00DC7581"/>
    <w:rsid w:val="00DD109B"/>
    <w:rsid w:val="00DD37B8"/>
    <w:rsid w:val="00DD4A43"/>
    <w:rsid w:val="00DD58FB"/>
    <w:rsid w:val="00DD6242"/>
    <w:rsid w:val="00DD6D0E"/>
    <w:rsid w:val="00DE0B7A"/>
    <w:rsid w:val="00DE308B"/>
    <w:rsid w:val="00DE4735"/>
    <w:rsid w:val="00DE5C0C"/>
    <w:rsid w:val="00DE75F7"/>
    <w:rsid w:val="00DE7FE2"/>
    <w:rsid w:val="00DF16D3"/>
    <w:rsid w:val="00DF34AF"/>
    <w:rsid w:val="00DF7B58"/>
    <w:rsid w:val="00E0134A"/>
    <w:rsid w:val="00E01CFD"/>
    <w:rsid w:val="00E0764A"/>
    <w:rsid w:val="00E10BC1"/>
    <w:rsid w:val="00E1391D"/>
    <w:rsid w:val="00E15A35"/>
    <w:rsid w:val="00E15FF8"/>
    <w:rsid w:val="00E16242"/>
    <w:rsid w:val="00E1703A"/>
    <w:rsid w:val="00E17DF0"/>
    <w:rsid w:val="00E2160E"/>
    <w:rsid w:val="00E22CDC"/>
    <w:rsid w:val="00E30673"/>
    <w:rsid w:val="00E30907"/>
    <w:rsid w:val="00E32D16"/>
    <w:rsid w:val="00E33220"/>
    <w:rsid w:val="00E344C8"/>
    <w:rsid w:val="00E4014F"/>
    <w:rsid w:val="00E41C17"/>
    <w:rsid w:val="00E42954"/>
    <w:rsid w:val="00E45A0D"/>
    <w:rsid w:val="00E468E5"/>
    <w:rsid w:val="00E503B3"/>
    <w:rsid w:val="00E51052"/>
    <w:rsid w:val="00E5317A"/>
    <w:rsid w:val="00E535E8"/>
    <w:rsid w:val="00E53916"/>
    <w:rsid w:val="00E541C1"/>
    <w:rsid w:val="00E55709"/>
    <w:rsid w:val="00E57F61"/>
    <w:rsid w:val="00E621DD"/>
    <w:rsid w:val="00E622D1"/>
    <w:rsid w:val="00E64018"/>
    <w:rsid w:val="00E6490F"/>
    <w:rsid w:val="00E80B4F"/>
    <w:rsid w:val="00E80C3C"/>
    <w:rsid w:val="00E86EEC"/>
    <w:rsid w:val="00E92494"/>
    <w:rsid w:val="00E93050"/>
    <w:rsid w:val="00E949ED"/>
    <w:rsid w:val="00E97EE8"/>
    <w:rsid w:val="00EA2DCE"/>
    <w:rsid w:val="00EA53B4"/>
    <w:rsid w:val="00EA60DB"/>
    <w:rsid w:val="00EB1E6D"/>
    <w:rsid w:val="00EB4CF7"/>
    <w:rsid w:val="00EB5441"/>
    <w:rsid w:val="00EB5B21"/>
    <w:rsid w:val="00EC1F3C"/>
    <w:rsid w:val="00EC3B1B"/>
    <w:rsid w:val="00EC42DD"/>
    <w:rsid w:val="00ED129D"/>
    <w:rsid w:val="00ED2CCC"/>
    <w:rsid w:val="00ED3383"/>
    <w:rsid w:val="00ED3451"/>
    <w:rsid w:val="00ED3902"/>
    <w:rsid w:val="00ED66B7"/>
    <w:rsid w:val="00ED7844"/>
    <w:rsid w:val="00EE457F"/>
    <w:rsid w:val="00EE4AA9"/>
    <w:rsid w:val="00EE5A1A"/>
    <w:rsid w:val="00EE7D62"/>
    <w:rsid w:val="00EF28C2"/>
    <w:rsid w:val="00EF57C7"/>
    <w:rsid w:val="00EF710D"/>
    <w:rsid w:val="00F025EA"/>
    <w:rsid w:val="00F02FF6"/>
    <w:rsid w:val="00F03139"/>
    <w:rsid w:val="00F06261"/>
    <w:rsid w:val="00F07D8F"/>
    <w:rsid w:val="00F07DF3"/>
    <w:rsid w:val="00F11D8C"/>
    <w:rsid w:val="00F151A6"/>
    <w:rsid w:val="00F17B15"/>
    <w:rsid w:val="00F23D1D"/>
    <w:rsid w:val="00F248F0"/>
    <w:rsid w:val="00F25811"/>
    <w:rsid w:val="00F279FF"/>
    <w:rsid w:val="00F31658"/>
    <w:rsid w:val="00F32110"/>
    <w:rsid w:val="00F337BA"/>
    <w:rsid w:val="00F33B7E"/>
    <w:rsid w:val="00F35DD9"/>
    <w:rsid w:val="00F4180E"/>
    <w:rsid w:val="00F43346"/>
    <w:rsid w:val="00F438F7"/>
    <w:rsid w:val="00F46394"/>
    <w:rsid w:val="00F51BD9"/>
    <w:rsid w:val="00F527E3"/>
    <w:rsid w:val="00F54873"/>
    <w:rsid w:val="00F54E20"/>
    <w:rsid w:val="00F54EC3"/>
    <w:rsid w:val="00F55273"/>
    <w:rsid w:val="00F55843"/>
    <w:rsid w:val="00F616A3"/>
    <w:rsid w:val="00F62AE7"/>
    <w:rsid w:val="00F64A55"/>
    <w:rsid w:val="00F64F77"/>
    <w:rsid w:val="00F6559F"/>
    <w:rsid w:val="00F676D0"/>
    <w:rsid w:val="00F70CC7"/>
    <w:rsid w:val="00F70DFF"/>
    <w:rsid w:val="00F80C46"/>
    <w:rsid w:val="00F80EA7"/>
    <w:rsid w:val="00F81FFC"/>
    <w:rsid w:val="00F82442"/>
    <w:rsid w:val="00F82B7D"/>
    <w:rsid w:val="00F83361"/>
    <w:rsid w:val="00F84506"/>
    <w:rsid w:val="00F85464"/>
    <w:rsid w:val="00F85B9B"/>
    <w:rsid w:val="00F91BBA"/>
    <w:rsid w:val="00F950CF"/>
    <w:rsid w:val="00F964C3"/>
    <w:rsid w:val="00FB15C5"/>
    <w:rsid w:val="00FB1ED2"/>
    <w:rsid w:val="00FB23D2"/>
    <w:rsid w:val="00FB4875"/>
    <w:rsid w:val="00FB5259"/>
    <w:rsid w:val="00FB5C01"/>
    <w:rsid w:val="00FB68A8"/>
    <w:rsid w:val="00FC1C50"/>
    <w:rsid w:val="00FC321E"/>
    <w:rsid w:val="00FC423A"/>
    <w:rsid w:val="00FC5097"/>
    <w:rsid w:val="00FD415C"/>
    <w:rsid w:val="00FD58C5"/>
    <w:rsid w:val="00FE33A0"/>
    <w:rsid w:val="00FF1899"/>
    <w:rsid w:val="00FF1BBA"/>
    <w:rsid w:val="00FF3901"/>
    <w:rsid w:val="00FF3E15"/>
    <w:rsid w:val="00FF4E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456"/>
    <w:pPr>
      <w:ind w:left="720"/>
      <w:contextualSpacing/>
    </w:pPr>
  </w:style>
  <w:style w:type="paragraph" w:styleId="Header">
    <w:name w:val="header"/>
    <w:basedOn w:val="Normal"/>
    <w:link w:val="HeaderChar"/>
    <w:uiPriority w:val="99"/>
    <w:unhideWhenUsed/>
    <w:rsid w:val="009B3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456"/>
  </w:style>
  <w:style w:type="paragraph" w:styleId="Footer">
    <w:name w:val="footer"/>
    <w:basedOn w:val="Normal"/>
    <w:link w:val="FooterChar"/>
    <w:uiPriority w:val="99"/>
    <w:unhideWhenUsed/>
    <w:rsid w:val="009B3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456"/>
  </w:style>
  <w:style w:type="character" w:styleId="Hyperlink">
    <w:name w:val="Hyperlink"/>
    <w:basedOn w:val="DefaultParagraphFont"/>
    <w:uiPriority w:val="99"/>
    <w:unhideWhenUsed/>
    <w:rsid w:val="009B3456"/>
    <w:rPr>
      <w:color w:val="0000FF" w:themeColor="hyperlink"/>
      <w:u w:val="single"/>
    </w:rPr>
  </w:style>
  <w:style w:type="paragraph" w:styleId="NormalWeb">
    <w:name w:val="Normal (Web)"/>
    <w:basedOn w:val="Normal"/>
    <w:uiPriority w:val="99"/>
    <w:semiHidden/>
    <w:unhideWhenUsed/>
    <w:rsid w:val="007263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541B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1B1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4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C24"/>
    <w:rPr>
      <w:rFonts w:ascii="Tahoma" w:hAnsi="Tahoma" w:cs="Tahoma"/>
      <w:sz w:val="16"/>
      <w:szCs w:val="16"/>
    </w:rPr>
  </w:style>
  <w:style w:type="character" w:styleId="PlaceholderText">
    <w:name w:val="Placeholder Text"/>
    <w:basedOn w:val="DefaultParagraphFont"/>
    <w:uiPriority w:val="99"/>
    <w:semiHidden/>
    <w:rsid w:val="00E949ED"/>
    <w:rPr>
      <w:color w:val="808080"/>
    </w:rPr>
  </w:style>
  <w:style w:type="character" w:styleId="FollowedHyperlink">
    <w:name w:val="FollowedHyperlink"/>
    <w:basedOn w:val="DefaultParagraphFont"/>
    <w:uiPriority w:val="99"/>
    <w:semiHidden/>
    <w:unhideWhenUsed/>
    <w:rsid w:val="009633C8"/>
    <w:rPr>
      <w:color w:val="800080" w:themeColor="followedHyperlink"/>
      <w:u w:val="single"/>
    </w:rPr>
  </w:style>
  <w:style w:type="paragraph" w:styleId="Caption">
    <w:name w:val="caption"/>
    <w:basedOn w:val="Normal"/>
    <w:next w:val="Normal"/>
    <w:uiPriority w:val="35"/>
    <w:unhideWhenUsed/>
    <w:qFormat/>
    <w:rsid w:val="00B40FA6"/>
    <w:pPr>
      <w:spacing w:line="240" w:lineRule="auto"/>
    </w:pPr>
    <w:rPr>
      <w:b/>
      <w:bCs/>
      <w:color w:val="4F81BD" w:themeColor="accent1"/>
      <w:sz w:val="18"/>
      <w:szCs w:val="18"/>
    </w:rPr>
  </w:style>
  <w:style w:type="table" w:customStyle="1" w:styleId="LightShading1">
    <w:name w:val="Light Shading1"/>
    <w:basedOn w:val="TableNormal"/>
    <w:uiPriority w:val="60"/>
    <w:rsid w:val="00C40E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67191434">
      <w:bodyDiv w:val="1"/>
      <w:marLeft w:val="0"/>
      <w:marRight w:val="0"/>
      <w:marTop w:val="0"/>
      <w:marBottom w:val="0"/>
      <w:divBdr>
        <w:top w:val="none" w:sz="0" w:space="0" w:color="auto"/>
        <w:left w:val="none" w:sz="0" w:space="0" w:color="auto"/>
        <w:bottom w:val="none" w:sz="0" w:space="0" w:color="auto"/>
        <w:right w:val="none" w:sz="0" w:space="0" w:color="auto"/>
      </w:divBdr>
    </w:div>
    <w:div w:id="99958613">
      <w:bodyDiv w:val="1"/>
      <w:marLeft w:val="0"/>
      <w:marRight w:val="0"/>
      <w:marTop w:val="0"/>
      <w:marBottom w:val="0"/>
      <w:divBdr>
        <w:top w:val="none" w:sz="0" w:space="0" w:color="auto"/>
        <w:left w:val="none" w:sz="0" w:space="0" w:color="auto"/>
        <w:bottom w:val="none" w:sz="0" w:space="0" w:color="auto"/>
        <w:right w:val="none" w:sz="0" w:space="0" w:color="auto"/>
      </w:divBdr>
    </w:div>
    <w:div w:id="316998788">
      <w:bodyDiv w:val="1"/>
      <w:marLeft w:val="0"/>
      <w:marRight w:val="0"/>
      <w:marTop w:val="0"/>
      <w:marBottom w:val="0"/>
      <w:divBdr>
        <w:top w:val="none" w:sz="0" w:space="0" w:color="auto"/>
        <w:left w:val="none" w:sz="0" w:space="0" w:color="auto"/>
        <w:bottom w:val="none" w:sz="0" w:space="0" w:color="auto"/>
        <w:right w:val="none" w:sz="0" w:space="0" w:color="auto"/>
      </w:divBdr>
    </w:div>
    <w:div w:id="340356348">
      <w:bodyDiv w:val="1"/>
      <w:marLeft w:val="0"/>
      <w:marRight w:val="0"/>
      <w:marTop w:val="0"/>
      <w:marBottom w:val="0"/>
      <w:divBdr>
        <w:top w:val="none" w:sz="0" w:space="0" w:color="auto"/>
        <w:left w:val="none" w:sz="0" w:space="0" w:color="auto"/>
        <w:bottom w:val="none" w:sz="0" w:space="0" w:color="auto"/>
        <w:right w:val="none" w:sz="0" w:space="0" w:color="auto"/>
      </w:divBdr>
    </w:div>
    <w:div w:id="368259211">
      <w:bodyDiv w:val="1"/>
      <w:marLeft w:val="0"/>
      <w:marRight w:val="0"/>
      <w:marTop w:val="0"/>
      <w:marBottom w:val="0"/>
      <w:divBdr>
        <w:top w:val="none" w:sz="0" w:space="0" w:color="auto"/>
        <w:left w:val="none" w:sz="0" w:space="0" w:color="auto"/>
        <w:bottom w:val="none" w:sz="0" w:space="0" w:color="auto"/>
        <w:right w:val="none" w:sz="0" w:space="0" w:color="auto"/>
      </w:divBdr>
    </w:div>
    <w:div w:id="371736830">
      <w:bodyDiv w:val="1"/>
      <w:marLeft w:val="0"/>
      <w:marRight w:val="0"/>
      <w:marTop w:val="0"/>
      <w:marBottom w:val="0"/>
      <w:divBdr>
        <w:top w:val="none" w:sz="0" w:space="0" w:color="auto"/>
        <w:left w:val="none" w:sz="0" w:space="0" w:color="auto"/>
        <w:bottom w:val="none" w:sz="0" w:space="0" w:color="auto"/>
        <w:right w:val="none" w:sz="0" w:space="0" w:color="auto"/>
      </w:divBdr>
    </w:div>
    <w:div w:id="414478297">
      <w:bodyDiv w:val="1"/>
      <w:marLeft w:val="0"/>
      <w:marRight w:val="0"/>
      <w:marTop w:val="0"/>
      <w:marBottom w:val="0"/>
      <w:divBdr>
        <w:top w:val="none" w:sz="0" w:space="0" w:color="auto"/>
        <w:left w:val="none" w:sz="0" w:space="0" w:color="auto"/>
        <w:bottom w:val="none" w:sz="0" w:space="0" w:color="auto"/>
        <w:right w:val="none" w:sz="0" w:space="0" w:color="auto"/>
      </w:divBdr>
    </w:div>
    <w:div w:id="491870158">
      <w:bodyDiv w:val="1"/>
      <w:marLeft w:val="0"/>
      <w:marRight w:val="0"/>
      <w:marTop w:val="0"/>
      <w:marBottom w:val="0"/>
      <w:divBdr>
        <w:top w:val="none" w:sz="0" w:space="0" w:color="auto"/>
        <w:left w:val="none" w:sz="0" w:space="0" w:color="auto"/>
        <w:bottom w:val="none" w:sz="0" w:space="0" w:color="auto"/>
        <w:right w:val="none" w:sz="0" w:space="0" w:color="auto"/>
      </w:divBdr>
    </w:div>
    <w:div w:id="536041247">
      <w:bodyDiv w:val="1"/>
      <w:marLeft w:val="0"/>
      <w:marRight w:val="0"/>
      <w:marTop w:val="0"/>
      <w:marBottom w:val="0"/>
      <w:divBdr>
        <w:top w:val="none" w:sz="0" w:space="0" w:color="auto"/>
        <w:left w:val="none" w:sz="0" w:space="0" w:color="auto"/>
        <w:bottom w:val="none" w:sz="0" w:space="0" w:color="auto"/>
        <w:right w:val="none" w:sz="0" w:space="0" w:color="auto"/>
      </w:divBdr>
    </w:div>
    <w:div w:id="615988033">
      <w:bodyDiv w:val="1"/>
      <w:marLeft w:val="0"/>
      <w:marRight w:val="0"/>
      <w:marTop w:val="0"/>
      <w:marBottom w:val="0"/>
      <w:divBdr>
        <w:top w:val="none" w:sz="0" w:space="0" w:color="auto"/>
        <w:left w:val="none" w:sz="0" w:space="0" w:color="auto"/>
        <w:bottom w:val="none" w:sz="0" w:space="0" w:color="auto"/>
        <w:right w:val="none" w:sz="0" w:space="0" w:color="auto"/>
      </w:divBdr>
    </w:div>
    <w:div w:id="620498700">
      <w:bodyDiv w:val="1"/>
      <w:marLeft w:val="0"/>
      <w:marRight w:val="0"/>
      <w:marTop w:val="0"/>
      <w:marBottom w:val="0"/>
      <w:divBdr>
        <w:top w:val="none" w:sz="0" w:space="0" w:color="auto"/>
        <w:left w:val="none" w:sz="0" w:space="0" w:color="auto"/>
        <w:bottom w:val="none" w:sz="0" w:space="0" w:color="auto"/>
        <w:right w:val="none" w:sz="0" w:space="0" w:color="auto"/>
      </w:divBdr>
    </w:div>
    <w:div w:id="632753030">
      <w:bodyDiv w:val="1"/>
      <w:marLeft w:val="0"/>
      <w:marRight w:val="0"/>
      <w:marTop w:val="0"/>
      <w:marBottom w:val="0"/>
      <w:divBdr>
        <w:top w:val="none" w:sz="0" w:space="0" w:color="auto"/>
        <w:left w:val="none" w:sz="0" w:space="0" w:color="auto"/>
        <w:bottom w:val="none" w:sz="0" w:space="0" w:color="auto"/>
        <w:right w:val="none" w:sz="0" w:space="0" w:color="auto"/>
      </w:divBdr>
    </w:div>
    <w:div w:id="780879584">
      <w:bodyDiv w:val="1"/>
      <w:marLeft w:val="0"/>
      <w:marRight w:val="0"/>
      <w:marTop w:val="0"/>
      <w:marBottom w:val="0"/>
      <w:divBdr>
        <w:top w:val="none" w:sz="0" w:space="0" w:color="auto"/>
        <w:left w:val="none" w:sz="0" w:space="0" w:color="auto"/>
        <w:bottom w:val="none" w:sz="0" w:space="0" w:color="auto"/>
        <w:right w:val="none" w:sz="0" w:space="0" w:color="auto"/>
      </w:divBdr>
    </w:div>
    <w:div w:id="847401373">
      <w:bodyDiv w:val="1"/>
      <w:marLeft w:val="0"/>
      <w:marRight w:val="0"/>
      <w:marTop w:val="0"/>
      <w:marBottom w:val="0"/>
      <w:divBdr>
        <w:top w:val="none" w:sz="0" w:space="0" w:color="auto"/>
        <w:left w:val="none" w:sz="0" w:space="0" w:color="auto"/>
        <w:bottom w:val="none" w:sz="0" w:space="0" w:color="auto"/>
        <w:right w:val="none" w:sz="0" w:space="0" w:color="auto"/>
      </w:divBdr>
    </w:div>
    <w:div w:id="952788497">
      <w:bodyDiv w:val="1"/>
      <w:marLeft w:val="0"/>
      <w:marRight w:val="0"/>
      <w:marTop w:val="0"/>
      <w:marBottom w:val="0"/>
      <w:divBdr>
        <w:top w:val="none" w:sz="0" w:space="0" w:color="auto"/>
        <w:left w:val="none" w:sz="0" w:space="0" w:color="auto"/>
        <w:bottom w:val="none" w:sz="0" w:space="0" w:color="auto"/>
        <w:right w:val="none" w:sz="0" w:space="0" w:color="auto"/>
      </w:divBdr>
    </w:div>
    <w:div w:id="997810352">
      <w:bodyDiv w:val="1"/>
      <w:marLeft w:val="0"/>
      <w:marRight w:val="0"/>
      <w:marTop w:val="0"/>
      <w:marBottom w:val="0"/>
      <w:divBdr>
        <w:top w:val="none" w:sz="0" w:space="0" w:color="auto"/>
        <w:left w:val="none" w:sz="0" w:space="0" w:color="auto"/>
        <w:bottom w:val="none" w:sz="0" w:space="0" w:color="auto"/>
        <w:right w:val="none" w:sz="0" w:space="0" w:color="auto"/>
      </w:divBdr>
    </w:div>
    <w:div w:id="1018508061">
      <w:bodyDiv w:val="1"/>
      <w:marLeft w:val="0"/>
      <w:marRight w:val="0"/>
      <w:marTop w:val="0"/>
      <w:marBottom w:val="0"/>
      <w:divBdr>
        <w:top w:val="none" w:sz="0" w:space="0" w:color="auto"/>
        <w:left w:val="none" w:sz="0" w:space="0" w:color="auto"/>
        <w:bottom w:val="none" w:sz="0" w:space="0" w:color="auto"/>
        <w:right w:val="none" w:sz="0" w:space="0" w:color="auto"/>
      </w:divBdr>
    </w:div>
    <w:div w:id="1216887668">
      <w:bodyDiv w:val="1"/>
      <w:marLeft w:val="0"/>
      <w:marRight w:val="0"/>
      <w:marTop w:val="0"/>
      <w:marBottom w:val="0"/>
      <w:divBdr>
        <w:top w:val="none" w:sz="0" w:space="0" w:color="auto"/>
        <w:left w:val="none" w:sz="0" w:space="0" w:color="auto"/>
        <w:bottom w:val="none" w:sz="0" w:space="0" w:color="auto"/>
        <w:right w:val="none" w:sz="0" w:space="0" w:color="auto"/>
      </w:divBdr>
    </w:div>
    <w:div w:id="1218476141">
      <w:bodyDiv w:val="1"/>
      <w:marLeft w:val="0"/>
      <w:marRight w:val="0"/>
      <w:marTop w:val="0"/>
      <w:marBottom w:val="0"/>
      <w:divBdr>
        <w:top w:val="none" w:sz="0" w:space="0" w:color="auto"/>
        <w:left w:val="none" w:sz="0" w:space="0" w:color="auto"/>
        <w:bottom w:val="none" w:sz="0" w:space="0" w:color="auto"/>
        <w:right w:val="none" w:sz="0" w:space="0" w:color="auto"/>
      </w:divBdr>
    </w:div>
    <w:div w:id="1268732957">
      <w:bodyDiv w:val="1"/>
      <w:marLeft w:val="0"/>
      <w:marRight w:val="0"/>
      <w:marTop w:val="0"/>
      <w:marBottom w:val="0"/>
      <w:divBdr>
        <w:top w:val="none" w:sz="0" w:space="0" w:color="auto"/>
        <w:left w:val="none" w:sz="0" w:space="0" w:color="auto"/>
        <w:bottom w:val="none" w:sz="0" w:space="0" w:color="auto"/>
        <w:right w:val="none" w:sz="0" w:space="0" w:color="auto"/>
      </w:divBdr>
    </w:div>
    <w:div w:id="1399547091">
      <w:bodyDiv w:val="1"/>
      <w:marLeft w:val="0"/>
      <w:marRight w:val="0"/>
      <w:marTop w:val="0"/>
      <w:marBottom w:val="0"/>
      <w:divBdr>
        <w:top w:val="none" w:sz="0" w:space="0" w:color="auto"/>
        <w:left w:val="none" w:sz="0" w:space="0" w:color="auto"/>
        <w:bottom w:val="none" w:sz="0" w:space="0" w:color="auto"/>
        <w:right w:val="none" w:sz="0" w:space="0" w:color="auto"/>
      </w:divBdr>
    </w:div>
    <w:div w:id="1432118480">
      <w:bodyDiv w:val="1"/>
      <w:marLeft w:val="0"/>
      <w:marRight w:val="0"/>
      <w:marTop w:val="0"/>
      <w:marBottom w:val="0"/>
      <w:divBdr>
        <w:top w:val="none" w:sz="0" w:space="0" w:color="auto"/>
        <w:left w:val="none" w:sz="0" w:space="0" w:color="auto"/>
        <w:bottom w:val="none" w:sz="0" w:space="0" w:color="auto"/>
        <w:right w:val="none" w:sz="0" w:space="0" w:color="auto"/>
      </w:divBdr>
    </w:div>
    <w:div w:id="1440301041">
      <w:bodyDiv w:val="1"/>
      <w:marLeft w:val="0"/>
      <w:marRight w:val="0"/>
      <w:marTop w:val="0"/>
      <w:marBottom w:val="0"/>
      <w:divBdr>
        <w:top w:val="none" w:sz="0" w:space="0" w:color="auto"/>
        <w:left w:val="none" w:sz="0" w:space="0" w:color="auto"/>
        <w:bottom w:val="none" w:sz="0" w:space="0" w:color="auto"/>
        <w:right w:val="none" w:sz="0" w:space="0" w:color="auto"/>
      </w:divBdr>
    </w:div>
    <w:div w:id="1446390562">
      <w:bodyDiv w:val="1"/>
      <w:marLeft w:val="0"/>
      <w:marRight w:val="0"/>
      <w:marTop w:val="0"/>
      <w:marBottom w:val="0"/>
      <w:divBdr>
        <w:top w:val="none" w:sz="0" w:space="0" w:color="auto"/>
        <w:left w:val="none" w:sz="0" w:space="0" w:color="auto"/>
        <w:bottom w:val="none" w:sz="0" w:space="0" w:color="auto"/>
        <w:right w:val="none" w:sz="0" w:space="0" w:color="auto"/>
      </w:divBdr>
      <w:divsChild>
        <w:div w:id="350957954">
          <w:marLeft w:val="0"/>
          <w:marRight w:val="0"/>
          <w:marTop w:val="0"/>
          <w:marBottom w:val="0"/>
          <w:divBdr>
            <w:top w:val="none" w:sz="0" w:space="0" w:color="auto"/>
            <w:left w:val="none" w:sz="0" w:space="0" w:color="auto"/>
            <w:bottom w:val="none" w:sz="0" w:space="0" w:color="auto"/>
            <w:right w:val="none" w:sz="0" w:space="0" w:color="auto"/>
          </w:divBdr>
          <w:divsChild>
            <w:div w:id="1020008577">
              <w:marLeft w:val="0"/>
              <w:marRight w:val="0"/>
              <w:marTop w:val="0"/>
              <w:marBottom w:val="0"/>
              <w:divBdr>
                <w:top w:val="none" w:sz="0" w:space="0" w:color="auto"/>
                <w:left w:val="none" w:sz="0" w:space="0" w:color="auto"/>
                <w:bottom w:val="none" w:sz="0" w:space="0" w:color="auto"/>
                <w:right w:val="none" w:sz="0" w:space="0" w:color="auto"/>
              </w:divBdr>
              <w:divsChild>
                <w:div w:id="476267353">
                  <w:marLeft w:val="0"/>
                  <w:marRight w:val="0"/>
                  <w:marTop w:val="0"/>
                  <w:marBottom w:val="0"/>
                  <w:divBdr>
                    <w:top w:val="none" w:sz="0" w:space="0" w:color="auto"/>
                    <w:left w:val="none" w:sz="0" w:space="0" w:color="auto"/>
                    <w:bottom w:val="none" w:sz="0" w:space="0" w:color="auto"/>
                    <w:right w:val="none" w:sz="0" w:space="0" w:color="auto"/>
                  </w:divBdr>
                  <w:divsChild>
                    <w:div w:id="893858223">
                      <w:marLeft w:val="0"/>
                      <w:marRight w:val="0"/>
                      <w:marTop w:val="0"/>
                      <w:marBottom w:val="0"/>
                      <w:divBdr>
                        <w:top w:val="none" w:sz="0" w:space="0" w:color="auto"/>
                        <w:left w:val="none" w:sz="0" w:space="0" w:color="auto"/>
                        <w:bottom w:val="none" w:sz="0" w:space="0" w:color="auto"/>
                        <w:right w:val="none" w:sz="0" w:space="0" w:color="auto"/>
                      </w:divBdr>
                      <w:divsChild>
                        <w:div w:id="222453651">
                          <w:marLeft w:val="0"/>
                          <w:marRight w:val="-20"/>
                          <w:marTop w:val="0"/>
                          <w:marBottom w:val="0"/>
                          <w:divBdr>
                            <w:top w:val="single" w:sz="4" w:space="0" w:color="D9E1E5"/>
                            <w:left w:val="single" w:sz="4" w:space="0" w:color="D9E1E5"/>
                            <w:bottom w:val="single" w:sz="4" w:space="0" w:color="D9E1E5"/>
                            <w:right w:val="single" w:sz="4" w:space="0" w:color="D9E1E5"/>
                          </w:divBdr>
                          <w:divsChild>
                            <w:div w:id="244076667">
                              <w:marLeft w:val="0"/>
                              <w:marRight w:val="0"/>
                              <w:marTop w:val="0"/>
                              <w:marBottom w:val="0"/>
                              <w:divBdr>
                                <w:top w:val="none" w:sz="0" w:space="0" w:color="auto"/>
                                <w:left w:val="single" w:sz="4" w:space="0" w:color="D9E1E5"/>
                                <w:bottom w:val="none" w:sz="0" w:space="0" w:color="auto"/>
                                <w:right w:val="none" w:sz="0" w:space="0" w:color="auto"/>
                              </w:divBdr>
                              <w:divsChild>
                                <w:div w:id="1959868787">
                                  <w:marLeft w:val="0"/>
                                  <w:marRight w:val="0"/>
                                  <w:marTop w:val="0"/>
                                  <w:marBottom w:val="0"/>
                                  <w:divBdr>
                                    <w:top w:val="none" w:sz="0" w:space="0" w:color="auto"/>
                                    <w:left w:val="none" w:sz="0" w:space="0" w:color="auto"/>
                                    <w:bottom w:val="none" w:sz="0" w:space="0" w:color="auto"/>
                                    <w:right w:val="none" w:sz="0" w:space="0" w:color="auto"/>
                                  </w:divBdr>
                                  <w:divsChild>
                                    <w:div w:id="1048189433">
                                      <w:marLeft w:val="0"/>
                                      <w:marRight w:val="0"/>
                                      <w:marTop w:val="0"/>
                                      <w:marBottom w:val="0"/>
                                      <w:divBdr>
                                        <w:top w:val="none" w:sz="0" w:space="0" w:color="auto"/>
                                        <w:left w:val="none" w:sz="0" w:space="0" w:color="auto"/>
                                        <w:bottom w:val="none" w:sz="0" w:space="0" w:color="auto"/>
                                        <w:right w:val="none" w:sz="0" w:space="0" w:color="auto"/>
                                      </w:divBdr>
                                      <w:divsChild>
                                        <w:div w:id="1485583952">
                                          <w:marLeft w:val="0"/>
                                          <w:marRight w:val="2400"/>
                                          <w:marTop w:val="0"/>
                                          <w:marBottom w:val="0"/>
                                          <w:divBdr>
                                            <w:top w:val="none" w:sz="0" w:space="0" w:color="auto"/>
                                            <w:left w:val="none" w:sz="0" w:space="0" w:color="auto"/>
                                            <w:bottom w:val="none" w:sz="0" w:space="0" w:color="auto"/>
                                            <w:right w:val="none" w:sz="0" w:space="0" w:color="auto"/>
                                          </w:divBdr>
                                          <w:divsChild>
                                            <w:div w:id="10386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3089">
      <w:bodyDiv w:val="1"/>
      <w:marLeft w:val="0"/>
      <w:marRight w:val="0"/>
      <w:marTop w:val="0"/>
      <w:marBottom w:val="0"/>
      <w:divBdr>
        <w:top w:val="none" w:sz="0" w:space="0" w:color="auto"/>
        <w:left w:val="none" w:sz="0" w:space="0" w:color="auto"/>
        <w:bottom w:val="none" w:sz="0" w:space="0" w:color="auto"/>
        <w:right w:val="none" w:sz="0" w:space="0" w:color="auto"/>
      </w:divBdr>
    </w:div>
    <w:div w:id="1555699946">
      <w:bodyDiv w:val="1"/>
      <w:marLeft w:val="0"/>
      <w:marRight w:val="0"/>
      <w:marTop w:val="0"/>
      <w:marBottom w:val="0"/>
      <w:divBdr>
        <w:top w:val="none" w:sz="0" w:space="0" w:color="auto"/>
        <w:left w:val="none" w:sz="0" w:space="0" w:color="auto"/>
        <w:bottom w:val="none" w:sz="0" w:space="0" w:color="auto"/>
        <w:right w:val="none" w:sz="0" w:space="0" w:color="auto"/>
      </w:divBdr>
    </w:div>
    <w:div w:id="1707827867">
      <w:bodyDiv w:val="1"/>
      <w:marLeft w:val="0"/>
      <w:marRight w:val="0"/>
      <w:marTop w:val="0"/>
      <w:marBottom w:val="0"/>
      <w:divBdr>
        <w:top w:val="none" w:sz="0" w:space="0" w:color="auto"/>
        <w:left w:val="none" w:sz="0" w:space="0" w:color="auto"/>
        <w:bottom w:val="none" w:sz="0" w:space="0" w:color="auto"/>
        <w:right w:val="none" w:sz="0" w:space="0" w:color="auto"/>
      </w:divBdr>
    </w:div>
    <w:div w:id="1786852766">
      <w:bodyDiv w:val="1"/>
      <w:marLeft w:val="0"/>
      <w:marRight w:val="0"/>
      <w:marTop w:val="0"/>
      <w:marBottom w:val="0"/>
      <w:divBdr>
        <w:top w:val="none" w:sz="0" w:space="0" w:color="auto"/>
        <w:left w:val="none" w:sz="0" w:space="0" w:color="auto"/>
        <w:bottom w:val="none" w:sz="0" w:space="0" w:color="auto"/>
        <w:right w:val="none" w:sz="0" w:space="0" w:color="auto"/>
      </w:divBdr>
    </w:div>
    <w:div w:id="2049067855">
      <w:bodyDiv w:val="1"/>
      <w:marLeft w:val="0"/>
      <w:marRight w:val="0"/>
      <w:marTop w:val="0"/>
      <w:marBottom w:val="0"/>
      <w:divBdr>
        <w:top w:val="none" w:sz="0" w:space="0" w:color="auto"/>
        <w:left w:val="none" w:sz="0" w:space="0" w:color="auto"/>
        <w:bottom w:val="none" w:sz="0" w:space="0" w:color="auto"/>
        <w:right w:val="none" w:sz="0" w:space="0" w:color="auto"/>
      </w:divBdr>
    </w:div>
    <w:div w:id="20691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ce.org/stats/documents/2012.09.sde.html" TargetMode="External"/><Relationship Id="rId18" Type="http://schemas.openxmlformats.org/officeDocument/2006/relationships/hyperlink" Target="http://www.ons.gov.uk/ons/guide-method/census/2011/census-data/2011-census-user-guide/quality-and-methods/quality/quality-measures/response-and-imputation-rates/item-edit-and-imputation-proces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nece.org/stats/documents/2012.09.sd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ensus.gov/srd/carra/16_Exploring_Admin_Recs_for_Race_and_Hispanic_Origin_Item_N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nece.org/stats/publications/editing/SDE3.html"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sc.ca/survey/documents/SSC2000_M_Bankier.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statcan.gc.ca/eng/conferences/symposium2016/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5D6C7-E957-454A-9F1D-E038CFC3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rogerss</dc:creator>
  <cp:lastModifiedBy>Rogers, Steven</cp:lastModifiedBy>
  <cp:revision>6</cp:revision>
  <cp:lastPrinted>2015-01-07T16:22:00Z</cp:lastPrinted>
  <dcterms:created xsi:type="dcterms:W3CDTF">2016-07-21T09:51:00Z</dcterms:created>
  <dcterms:modified xsi:type="dcterms:W3CDTF">2016-07-29T09:08:00Z</dcterms:modified>
</cp:coreProperties>
</file>