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A9" w:rsidRDefault="002B13A9" w:rsidP="002B13A9">
      <w:pPr>
        <w:rPr>
          <w:rFonts w:ascii="Arial" w:hAnsi="Arial" w:cs="Arial"/>
          <w:b/>
        </w:rPr>
      </w:pPr>
      <w:r w:rsidRPr="004C56ED">
        <w:rPr>
          <w:rFonts w:ascii="Arial" w:hAnsi="Arial" w:cs="Arial"/>
          <w:b/>
        </w:rPr>
        <w:t>Calculating weights for the BIS Self-employed survey, an LFS follow up</w:t>
      </w:r>
    </w:p>
    <w:p w:rsidR="0003362F" w:rsidRPr="0003362F" w:rsidRDefault="0003362F" w:rsidP="002B13A9">
      <w:pPr>
        <w:rPr>
          <w:rFonts w:ascii="Arial" w:hAnsi="Arial" w:cs="Arial"/>
          <w:sz w:val="22"/>
          <w:szCs w:val="22"/>
        </w:rPr>
      </w:pPr>
      <w:r w:rsidRPr="0003362F">
        <w:rPr>
          <w:rFonts w:ascii="Arial" w:hAnsi="Arial" w:cs="Arial"/>
          <w:sz w:val="22"/>
          <w:szCs w:val="22"/>
        </w:rPr>
        <w:t>Katie Connolly</w:t>
      </w:r>
    </w:p>
    <w:p w:rsidR="00032E88" w:rsidRDefault="00032E88" w:rsidP="00BB27DC">
      <w:pPr>
        <w:rPr>
          <w:rFonts w:ascii="Arial" w:hAnsi="Arial" w:cs="Arial"/>
          <w:sz w:val="22"/>
          <w:szCs w:val="22"/>
        </w:rPr>
      </w:pPr>
    </w:p>
    <w:p w:rsidR="00011561" w:rsidRPr="00CA7EB1" w:rsidRDefault="00CA7EB1" w:rsidP="00BB27DC">
      <w:pPr>
        <w:rPr>
          <w:rFonts w:ascii="Arial" w:hAnsi="Arial" w:cs="Arial"/>
          <w:b/>
          <w:sz w:val="22"/>
          <w:szCs w:val="22"/>
        </w:rPr>
      </w:pPr>
      <w:r>
        <w:rPr>
          <w:rFonts w:ascii="Arial" w:hAnsi="Arial" w:cs="Arial"/>
          <w:b/>
          <w:sz w:val="22"/>
          <w:szCs w:val="22"/>
        </w:rPr>
        <w:t>Abstract</w:t>
      </w:r>
    </w:p>
    <w:p w:rsidR="002B13A9" w:rsidRPr="002B13A9" w:rsidRDefault="002B13A9" w:rsidP="002B13A9">
      <w:pPr>
        <w:rPr>
          <w:rFonts w:ascii="Arial" w:hAnsi="Arial" w:cs="Arial"/>
          <w:sz w:val="22"/>
          <w:szCs w:val="22"/>
        </w:rPr>
      </w:pPr>
      <w:r w:rsidRPr="002B13A9">
        <w:rPr>
          <w:rFonts w:ascii="Arial" w:hAnsi="Arial" w:cs="Arial"/>
          <w:sz w:val="22"/>
          <w:szCs w:val="22"/>
        </w:rPr>
        <w:t>ONS conducted and delivered results for a telephone survey of 1</w:t>
      </w:r>
      <w:r w:rsidR="009F332C">
        <w:rPr>
          <w:rFonts w:ascii="Arial" w:hAnsi="Arial" w:cs="Arial"/>
          <w:sz w:val="22"/>
          <w:szCs w:val="22"/>
        </w:rPr>
        <w:t>,</w:t>
      </w:r>
      <w:r w:rsidRPr="002B13A9">
        <w:rPr>
          <w:rFonts w:ascii="Arial" w:hAnsi="Arial" w:cs="Arial"/>
          <w:sz w:val="22"/>
          <w:szCs w:val="22"/>
        </w:rPr>
        <w:t>500 self-employed individuals in a short space of time for the Department for Business, Innovation and Skills (BIS). The results of the survey would then be used to contribute to the evidence base of an independent review of self-employment being conducted by government.</w:t>
      </w:r>
    </w:p>
    <w:p w:rsidR="002B13A9" w:rsidRPr="002B13A9" w:rsidRDefault="002B13A9" w:rsidP="002B13A9">
      <w:pPr>
        <w:rPr>
          <w:rFonts w:ascii="Arial" w:hAnsi="Arial" w:cs="Arial"/>
          <w:sz w:val="22"/>
          <w:szCs w:val="22"/>
        </w:rPr>
      </w:pPr>
    </w:p>
    <w:p w:rsidR="002B13A9" w:rsidRPr="002B13A9" w:rsidRDefault="002B13A9" w:rsidP="002B13A9">
      <w:pPr>
        <w:rPr>
          <w:rFonts w:ascii="Arial" w:hAnsi="Arial" w:cs="Arial"/>
          <w:sz w:val="22"/>
          <w:szCs w:val="22"/>
        </w:rPr>
      </w:pPr>
      <w:r w:rsidRPr="002B13A9">
        <w:rPr>
          <w:rFonts w:ascii="Arial" w:hAnsi="Arial" w:cs="Arial"/>
          <w:sz w:val="22"/>
          <w:szCs w:val="22"/>
        </w:rPr>
        <w:t xml:space="preserve">Participants of the Labour Force Survey (LFS) are interviewed for </w:t>
      </w:r>
      <w:r w:rsidR="009F332C">
        <w:rPr>
          <w:rFonts w:ascii="Arial" w:hAnsi="Arial" w:cs="Arial"/>
          <w:sz w:val="22"/>
          <w:szCs w:val="22"/>
        </w:rPr>
        <w:t>5</w:t>
      </w:r>
      <w:r w:rsidRPr="002B13A9">
        <w:rPr>
          <w:rFonts w:ascii="Arial" w:hAnsi="Arial" w:cs="Arial"/>
          <w:sz w:val="22"/>
          <w:szCs w:val="22"/>
        </w:rPr>
        <w:t xml:space="preserve"> quarters about their employment status. This allows us to identify self-employed individuals. The list of LFS participants who consented to re-contact was used as a sampling frame to allow for efficient sampling. Households with one or more individuals identifying themselves as being self-employed were sampled and from these a single self-employed individual was interviewed. This sample design has been reflected in the weighting strategy.</w:t>
      </w:r>
    </w:p>
    <w:p w:rsidR="002B13A9" w:rsidRPr="002B13A9" w:rsidRDefault="002B13A9" w:rsidP="002B13A9">
      <w:pPr>
        <w:rPr>
          <w:rFonts w:ascii="Arial" w:hAnsi="Arial" w:cs="Arial"/>
          <w:sz w:val="22"/>
          <w:szCs w:val="22"/>
        </w:rPr>
      </w:pPr>
    </w:p>
    <w:p w:rsidR="002B13A9" w:rsidRPr="002B13A9" w:rsidRDefault="002B13A9" w:rsidP="002B13A9">
      <w:pPr>
        <w:rPr>
          <w:rFonts w:ascii="Arial" w:hAnsi="Arial" w:cs="Arial"/>
          <w:sz w:val="22"/>
          <w:szCs w:val="22"/>
        </w:rPr>
      </w:pPr>
      <w:r w:rsidRPr="002B13A9">
        <w:rPr>
          <w:rFonts w:ascii="Arial" w:hAnsi="Arial" w:cs="Arial"/>
          <w:sz w:val="22"/>
          <w:szCs w:val="22"/>
        </w:rPr>
        <w:t xml:space="preserve">This </w:t>
      </w:r>
      <w:r w:rsidR="00410DA1">
        <w:rPr>
          <w:rFonts w:ascii="Arial" w:hAnsi="Arial" w:cs="Arial"/>
          <w:sz w:val="22"/>
          <w:szCs w:val="22"/>
        </w:rPr>
        <w:t>paper</w:t>
      </w:r>
      <w:r w:rsidRPr="002B13A9">
        <w:rPr>
          <w:rFonts w:ascii="Arial" w:hAnsi="Arial" w:cs="Arial"/>
          <w:sz w:val="22"/>
          <w:szCs w:val="22"/>
        </w:rPr>
        <w:t xml:space="preserve"> highlight</w:t>
      </w:r>
      <w:r w:rsidR="009F332C">
        <w:rPr>
          <w:rFonts w:ascii="Arial" w:hAnsi="Arial" w:cs="Arial"/>
          <w:sz w:val="22"/>
          <w:szCs w:val="22"/>
        </w:rPr>
        <w:t>s</w:t>
      </w:r>
      <w:r w:rsidRPr="002B13A9">
        <w:rPr>
          <w:rFonts w:ascii="Arial" w:hAnsi="Arial" w:cs="Arial"/>
          <w:sz w:val="22"/>
          <w:szCs w:val="22"/>
        </w:rPr>
        <w:t xml:space="preserve"> how the innovative sampling methodology employed helped enable us to have “impact at pace” and </w:t>
      </w:r>
      <w:r w:rsidR="009F332C">
        <w:rPr>
          <w:rFonts w:ascii="Arial" w:hAnsi="Arial" w:cs="Arial"/>
          <w:sz w:val="22"/>
          <w:szCs w:val="22"/>
        </w:rPr>
        <w:t>describes</w:t>
      </w:r>
      <w:r w:rsidRPr="002B13A9">
        <w:rPr>
          <w:rFonts w:ascii="Arial" w:hAnsi="Arial" w:cs="Arial"/>
          <w:sz w:val="22"/>
          <w:szCs w:val="22"/>
        </w:rPr>
        <w:t xml:space="preserve"> the methodology used to calculate the weights. </w:t>
      </w:r>
    </w:p>
    <w:p w:rsidR="001324B7" w:rsidRPr="002B13A9" w:rsidRDefault="001324B7" w:rsidP="001324B7">
      <w:pPr>
        <w:rPr>
          <w:rFonts w:ascii="Arial" w:hAnsi="Arial" w:cs="Arial"/>
          <w:sz w:val="22"/>
          <w:szCs w:val="22"/>
        </w:rPr>
      </w:pPr>
    </w:p>
    <w:p w:rsidR="00B133BB" w:rsidRPr="00CA7EB1" w:rsidRDefault="00CA7EB1" w:rsidP="00CA7EB1">
      <w:pPr>
        <w:pStyle w:val="ListParagraph"/>
        <w:numPr>
          <w:ilvl w:val="0"/>
          <w:numId w:val="1"/>
        </w:numPr>
        <w:rPr>
          <w:rFonts w:ascii="Arial" w:hAnsi="Arial" w:cs="Arial"/>
          <w:b/>
          <w:sz w:val="22"/>
          <w:szCs w:val="22"/>
        </w:rPr>
      </w:pPr>
      <w:r w:rsidRPr="00CA7EB1">
        <w:rPr>
          <w:rFonts w:ascii="Arial" w:hAnsi="Arial" w:cs="Arial"/>
          <w:b/>
          <w:sz w:val="22"/>
          <w:szCs w:val="22"/>
        </w:rPr>
        <w:t>Background</w:t>
      </w:r>
    </w:p>
    <w:p w:rsidR="00CA7EB1" w:rsidRDefault="00CA7EB1" w:rsidP="001324B7">
      <w:pPr>
        <w:rPr>
          <w:rFonts w:ascii="Arial" w:hAnsi="Arial" w:cs="Arial"/>
          <w:b/>
          <w:sz w:val="22"/>
          <w:szCs w:val="22"/>
        </w:rPr>
      </w:pPr>
    </w:p>
    <w:p w:rsidR="00CA7EB1" w:rsidRDefault="00CA7EB1" w:rsidP="001324B7">
      <w:pPr>
        <w:rPr>
          <w:rFonts w:ascii="Arial" w:hAnsi="Arial" w:cs="Arial"/>
          <w:sz w:val="22"/>
          <w:szCs w:val="22"/>
        </w:rPr>
      </w:pPr>
      <w:r>
        <w:rPr>
          <w:rFonts w:ascii="Arial" w:hAnsi="Arial" w:cs="Arial"/>
          <w:sz w:val="22"/>
          <w:szCs w:val="22"/>
        </w:rPr>
        <w:t>The number of self-employed people in the UK increased by around 0.5million between 2010 and 2015. In response to this BIS requested that ONS collect</w:t>
      </w:r>
      <w:r w:rsidR="009F332C">
        <w:rPr>
          <w:rFonts w:ascii="Arial" w:hAnsi="Arial" w:cs="Arial"/>
          <w:sz w:val="22"/>
          <w:szCs w:val="22"/>
        </w:rPr>
        <w:t>s</w:t>
      </w:r>
      <w:r>
        <w:rPr>
          <w:rFonts w:ascii="Arial" w:hAnsi="Arial" w:cs="Arial"/>
          <w:sz w:val="22"/>
          <w:szCs w:val="22"/>
        </w:rPr>
        <w:t xml:space="preserve"> information about self-employed individuals in a short space of time.</w:t>
      </w:r>
    </w:p>
    <w:p w:rsidR="00CA7EB1" w:rsidRDefault="00CA7EB1" w:rsidP="001324B7">
      <w:pPr>
        <w:rPr>
          <w:rFonts w:ascii="Arial" w:hAnsi="Arial" w:cs="Arial"/>
          <w:sz w:val="22"/>
          <w:szCs w:val="22"/>
        </w:rPr>
      </w:pPr>
    </w:p>
    <w:p w:rsidR="00CA7EB1" w:rsidRDefault="00CA7EB1" w:rsidP="001324B7">
      <w:pPr>
        <w:rPr>
          <w:rFonts w:ascii="Arial" w:hAnsi="Arial" w:cs="Arial"/>
          <w:sz w:val="22"/>
          <w:szCs w:val="22"/>
        </w:rPr>
      </w:pPr>
      <w:r>
        <w:rPr>
          <w:rFonts w:ascii="Arial" w:hAnsi="Arial" w:cs="Arial"/>
          <w:sz w:val="22"/>
          <w:szCs w:val="22"/>
        </w:rPr>
        <w:t xml:space="preserve">Self-employed individuals are a diverse group of people with different circumstances. The purpose of the survey was to collect more detailed data on the experiences of the self-employed that </w:t>
      </w:r>
      <w:r w:rsidR="00D3287F">
        <w:rPr>
          <w:rFonts w:ascii="Arial" w:hAnsi="Arial" w:cs="Arial"/>
          <w:sz w:val="22"/>
          <w:szCs w:val="22"/>
        </w:rPr>
        <w:t>were</w:t>
      </w:r>
      <w:r>
        <w:rPr>
          <w:rFonts w:ascii="Arial" w:hAnsi="Arial" w:cs="Arial"/>
          <w:sz w:val="22"/>
          <w:szCs w:val="22"/>
        </w:rPr>
        <w:t xml:space="preserve"> not available from other </w:t>
      </w:r>
      <w:r w:rsidR="009F332C">
        <w:rPr>
          <w:rFonts w:ascii="Arial" w:hAnsi="Arial" w:cs="Arial"/>
          <w:sz w:val="22"/>
          <w:szCs w:val="22"/>
        </w:rPr>
        <w:t>sources</w:t>
      </w:r>
      <w:r>
        <w:rPr>
          <w:rFonts w:ascii="Arial" w:hAnsi="Arial" w:cs="Arial"/>
          <w:sz w:val="22"/>
          <w:szCs w:val="22"/>
        </w:rPr>
        <w:t>. This was to help understand what it is currently like to be self-employed in the UK.</w:t>
      </w:r>
    </w:p>
    <w:p w:rsidR="00CA7EB1" w:rsidRDefault="00CA7EB1" w:rsidP="001324B7">
      <w:pPr>
        <w:rPr>
          <w:rFonts w:ascii="Arial" w:hAnsi="Arial" w:cs="Arial"/>
          <w:sz w:val="22"/>
          <w:szCs w:val="22"/>
        </w:rPr>
      </w:pPr>
    </w:p>
    <w:p w:rsidR="00CA7EB1" w:rsidRDefault="00CA7EB1" w:rsidP="001324B7">
      <w:pPr>
        <w:rPr>
          <w:rFonts w:ascii="Arial" w:hAnsi="Arial" w:cs="Arial"/>
          <w:sz w:val="22"/>
          <w:szCs w:val="22"/>
        </w:rPr>
      </w:pPr>
      <w:r>
        <w:rPr>
          <w:rFonts w:ascii="Arial" w:hAnsi="Arial" w:cs="Arial"/>
          <w:sz w:val="22"/>
          <w:szCs w:val="22"/>
        </w:rPr>
        <w:t>The survey was funded by BIS and they expected the data to be a key element in developing the evidence base for a review of self-employment policy.</w:t>
      </w:r>
    </w:p>
    <w:p w:rsidR="00CA7EB1" w:rsidRDefault="00CA7EB1" w:rsidP="001324B7">
      <w:pPr>
        <w:rPr>
          <w:rFonts w:ascii="Arial" w:hAnsi="Arial" w:cs="Arial"/>
          <w:sz w:val="22"/>
          <w:szCs w:val="22"/>
        </w:rPr>
      </w:pPr>
    </w:p>
    <w:p w:rsidR="00CA7EB1" w:rsidRDefault="00CA7EB1" w:rsidP="00CA7EB1">
      <w:pPr>
        <w:pStyle w:val="ListParagraph"/>
        <w:numPr>
          <w:ilvl w:val="0"/>
          <w:numId w:val="1"/>
        </w:numPr>
        <w:rPr>
          <w:rFonts w:ascii="Arial" w:hAnsi="Arial" w:cs="Arial"/>
          <w:b/>
          <w:sz w:val="22"/>
          <w:szCs w:val="22"/>
        </w:rPr>
      </w:pPr>
      <w:r>
        <w:rPr>
          <w:rFonts w:ascii="Arial" w:hAnsi="Arial" w:cs="Arial"/>
          <w:b/>
          <w:sz w:val="22"/>
          <w:szCs w:val="22"/>
        </w:rPr>
        <w:t>BIS Self-employed Survey</w:t>
      </w:r>
    </w:p>
    <w:p w:rsidR="00CA7EB1" w:rsidRDefault="00CA7EB1" w:rsidP="00CA7EB1">
      <w:pPr>
        <w:rPr>
          <w:rFonts w:ascii="Arial" w:hAnsi="Arial" w:cs="Arial"/>
          <w:sz w:val="22"/>
          <w:szCs w:val="22"/>
        </w:rPr>
      </w:pPr>
    </w:p>
    <w:p w:rsidR="00CA7EB1" w:rsidRDefault="00CA7EB1" w:rsidP="00CA7EB1">
      <w:pPr>
        <w:rPr>
          <w:rFonts w:ascii="Arial" w:hAnsi="Arial" w:cs="Arial"/>
          <w:sz w:val="22"/>
          <w:szCs w:val="22"/>
        </w:rPr>
      </w:pPr>
      <w:r>
        <w:rPr>
          <w:rFonts w:ascii="Arial" w:hAnsi="Arial" w:cs="Arial"/>
          <w:sz w:val="22"/>
          <w:szCs w:val="22"/>
        </w:rPr>
        <w:t>The</w:t>
      </w:r>
      <w:r w:rsidR="009F332C">
        <w:rPr>
          <w:rFonts w:ascii="Arial" w:hAnsi="Arial" w:cs="Arial"/>
          <w:sz w:val="22"/>
          <w:szCs w:val="22"/>
        </w:rPr>
        <w:t xml:space="preserve"> field period for the</w:t>
      </w:r>
      <w:r>
        <w:rPr>
          <w:rFonts w:ascii="Arial" w:hAnsi="Arial" w:cs="Arial"/>
          <w:sz w:val="22"/>
          <w:szCs w:val="22"/>
        </w:rPr>
        <w:t xml:space="preserve"> survey was </w:t>
      </w:r>
      <w:r w:rsidR="009F332C">
        <w:rPr>
          <w:rFonts w:ascii="Arial" w:hAnsi="Arial" w:cs="Arial"/>
          <w:sz w:val="22"/>
          <w:szCs w:val="22"/>
        </w:rPr>
        <w:t xml:space="preserve">in </w:t>
      </w:r>
      <w:r>
        <w:rPr>
          <w:rFonts w:ascii="Arial" w:hAnsi="Arial" w:cs="Arial"/>
          <w:sz w:val="22"/>
          <w:szCs w:val="22"/>
        </w:rPr>
        <w:t>2015. It was a telephone interview allowing for information to be collected quickly and at a relatively low cost compared with other methods such as face-to-face interviews.</w:t>
      </w:r>
    </w:p>
    <w:p w:rsidR="00CA7EB1" w:rsidRDefault="00CA7EB1" w:rsidP="00CA7EB1">
      <w:pPr>
        <w:rPr>
          <w:rFonts w:ascii="Arial" w:hAnsi="Arial" w:cs="Arial"/>
          <w:sz w:val="22"/>
          <w:szCs w:val="22"/>
        </w:rPr>
      </w:pPr>
    </w:p>
    <w:p w:rsidR="00CA7EB1" w:rsidRDefault="00CA7EB1" w:rsidP="00CA7EB1">
      <w:pPr>
        <w:rPr>
          <w:rFonts w:ascii="Arial" w:hAnsi="Arial" w:cs="Arial"/>
          <w:sz w:val="22"/>
          <w:szCs w:val="22"/>
        </w:rPr>
      </w:pPr>
      <w:r>
        <w:rPr>
          <w:rFonts w:ascii="Arial" w:hAnsi="Arial" w:cs="Arial"/>
          <w:sz w:val="22"/>
          <w:szCs w:val="22"/>
        </w:rPr>
        <w:t xml:space="preserve">An initial question determining if the individual was self-employed was first asked. </w:t>
      </w:r>
      <w:r w:rsidR="000F44D6">
        <w:rPr>
          <w:rFonts w:ascii="Arial" w:hAnsi="Arial" w:cs="Arial"/>
          <w:sz w:val="22"/>
          <w:szCs w:val="22"/>
        </w:rPr>
        <w:t xml:space="preserve">Those that said they had never been self-employed were excluded from the sample. </w:t>
      </w:r>
      <w:r>
        <w:rPr>
          <w:rFonts w:ascii="Arial" w:hAnsi="Arial" w:cs="Arial"/>
          <w:sz w:val="22"/>
          <w:szCs w:val="22"/>
        </w:rPr>
        <w:t xml:space="preserve">Those that were still self-employed were asked </w:t>
      </w:r>
      <w:r w:rsidR="000F44D6">
        <w:rPr>
          <w:rFonts w:ascii="Arial" w:hAnsi="Arial" w:cs="Arial"/>
          <w:sz w:val="22"/>
          <w:szCs w:val="22"/>
        </w:rPr>
        <w:t>further questions based on:</w:t>
      </w:r>
    </w:p>
    <w:p w:rsidR="000F44D6" w:rsidRDefault="009F332C" w:rsidP="000F44D6">
      <w:pPr>
        <w:pStyle w:val="ListParagraph"/>
        <w:numPr>
          <w:ilvl w:val="0"/>
          <w:numId w:val="2"/>
        </w:numPr>
        <w:rPr>
          <w:rFonts w:ascii="Arial" w:hAnsi="Arial" w:cs="Arial"/>
          <w:sz w:val="22"/>
          <w:szCs w:val="22"/>
        </w:rPr>
      </w:pPr>
      <w:r>
        <w:rPr>
          <w:rFonts w:ascii="Arial" w:hAnsi="Arial" w:cs="Arial"/>
          <w:sz w:val="22"/>
          <w:szCs w:val="22"/>
        </w:rPr>
        <w:t>d</w:t>
      </w:r>
      <w:r w:rsidR="000F44D6">
        <w:rPr>
          <w:rFonts w:ascii="Arial" w:hAnsi="Arial" w:cs="Arial"/>
          <w:sz w:val="22"/>
          <w:szCs w:val="22"/>
        </w:rPr>
        <w:t>ifferent “types” of self-employment contained in the LFS statistics</w:t>
      </w:r>
    </w:p>
    <w:p w:rsidR="000F44D6" w:rsidRDefault="009F332C" w:rsidP="000F44D6">
      <w:pPr>
        <w:pStyle w:val="ListParagraph"/>
        <w:numPr>
          <w:ilvl w:val="0"/>
          <w:numId w:val="2"/>
        </w:numPr>
        <w:rPr>
          <w:rFonts w:ascii="Arial" w:hAnsi="Arial" w:cs="Arial"/>
          <w:sz w:val="22"/>
          <w:szCs w:val="22"/>
        </w:rPr>
      </w:pPr>
      <w:r>
        <w:rPr>
          <w:rFonts w:ascii="Arial" w:hAnsi="Arial" w:cs="Arial"/>
          <w:sz w:val="22"/>
          <w:szCs w:val="22"/>
        </w:rPr>
        <w:t>d</w:t>
      </w:r>
      <w:r w:rsidR="000F44D6">
        <w:rPr>
          <w:rFonts w:ascii="Arial" w:hAnsi="Arial" w:cs="Arial"/>
          <w:sz w:val="22"/>
          <w:szCs w:val="22"/>
        </w:rPr>
        <w:t>ifferent routes of entry to self-employment</w:t>
      </w:r>
    </w:p>
    <w:p w:rsidR="000F44D6" w:rsidRDefault="009F332C" w:rsidP="000F44D6">
      <w:pPr>
        <w:pStyle w:val="ListParagraph"/>
        <w:numPr>
          <w:ilvl w:val="0"/>
          <w:numId w:val="2"/>
        </w:numPr>
        <w:rPr>
          <w:rFonts w:ascii="Arial" w:hAnsi="Arial" w:cs="Arial"/>
          <w:sz w:val="22"/>
          <w:szCs w:val="22"/>
        </w:rPr>
      </w:pPr>
      <w:r>
        <w:rPr>
          <w:rFonts w:ascii="Arial" w:hAnsi="Arial" w:cs="Arial"/>
          <w:sz w:val="22"/>
          <w:szCs w:val="22"/>
        </w:rPr>
        <w:t>c</w:t>
      </w:r>
      <w:r w:rsidR="000F44D6">
        <w:rPr>
          <w:rFonts w:ascii="Arial" w:hAnsi="Arial" w:cs="Arial"/>
          <w:sz w:val="22"/>
          <w:szCs w:val="22"/>
        </w:rPr>
        <w:t>hoice between self-employment and working as an employee</w:t>
      </w:r>
    </w:p>
    <w:p w:rsidR="000F44D6" w:rsidRDefault="009F332C" w:rsidP="000F44D6">
      <w:pPr>
        <w:pStyle w:val="ListParagraph"/>
        <w:numPr>
          <w:ilvl w:val="0"/>
          <w:numId w:val="2"/>
        </w:numPr>
        <w:rPr>
          <w:rFonts w:ascii="Arial" w:hAnsi="Arial" w:cs="Arial"/>
          <w:sz w:val="22"/>
          <w:szCs w:val="22"/>
        </w:rPr>
      </w:pPr>
      <w:r>
        <w:rPr>
          <w:rFonts w:ascii="Arial" w:hAnsi="Arial" w:cs="Arial"/>
          <w:sz w:val="22"/>
          <w:szCs w:val="22"/>
        </w:rPr>
        <w:t>b</w:t>
      </w:r>
      <w:r w:rsidR="000F44D6">
        <w:rPr>
          <w:rFonts w:ascii="Arial" w:hAnsi="Arial" w:cs="Arial"/>
          <w:sz w:val="22"/>
          <w:szCs w:val="22"/>
        </w:rPr>
        <w:t>enefits of being self-employed</w:t>
      </w:r>
    </w:p>
    <w:p w:rsidR="000F44D6" w:rsidRDefault="009F332C" w:rsidP="000F44D6">
      <w:pPr>
        <w:pStyle w:val="ListParagraph"/>
        <w:numPr>
          <w:ilvl w:val="0"/>
          <w:numId w:val="2"/>
        </w:numPr>
        <w:rPr>
          <w:rFonts w:ascii="Arial" w:hAnsi="Arial" w:cs="Arial"/>
          <w:sz w:val="22"/>
          <w:szCs w:val="22"/>
        </w:rPr>
      </w:pPr>
      <w:r>
        <w:rPr>
          <w:rFonts w:ascii="Arial" w:hAnsi="Arial" w:cs="Arial"/>
          <w:sz w:val="22"/>
          <w:szCs w:val="22"/>
        </w:rPr>
        <w:t>c</w:t>
      </w:r>
      <w:r w:rsidR="000F44D6">
        <w:rPr>
          <w:rFonts w:ascii="Arial" w:hAnsi="Arial" w:cs="Arial"/>
          <w:sz w:val="22"/>
          <w:szCs w:val="22"/>
        </w:rPr>
        <w:t>hallenges of self-employment</w:t>
      </w:r>
    </w:p>
    <w:p w:rsidR="000F44D6" w:rsidRDefault="009F332C" w:rsidP="000F44D6">
      <w:pPr>
        <w:pStyle w:val="ListParagraph"/>
        <w:numPr>
          <w:ilvl w:val="0"/>
          <w:numId w:val="2"/>
        </w:numPr>
        <w:rPr>
          <w:rFonts w:ascii="Arial" w:hAnsi="Arial" w:cs="Arial"/>
          <w:sz w:val="22"/>
          <w:szCs w:val="22"/>
        </w:rPr>
      </w:pPr>
      <w:r>
        <w:rPr>
          <w:rFonts w:ascii="Arial" w:hAnsi="Arial" w:cs="Arial"/>
          <w:sz w:val="22"/>
          <w:szCs w:val="22"/>
        </w:rPr>
        <w:t>h</w:t>
      </w:r>
      <w:r w:rsidR="000F44D6">
        <w:rPr>
          <w:rFonts w:ascii="Arial" w:hAnsi="Arial" w:cs="Arial"/>
          <w:sz w:val="22"/>
          <w:szCs w:val="22"/>
        </w:rPr>
        <w:t>ow LFS self-employment relates to other measurements we make</w:t>
      </w:r>
    </w:p>
    <w:p w:rsidR="000F44D6" w:rsidRDefault="000F44D6" w:rsidP="000F44D6">
      <w:pPr>
        <w:rPr>
          <w:rFonts w:ascii="Arial" w:hAnsi="Arial" w:cs="Arial"/>
          <w:sz w:val="22"/>
          <w:szCs w:val="22"/>
        </w:rPr>
      </w:pPr>
    </w:p>
    <w:p w:rsidR="000F44D6" w:rsidRDefault="000F44D6" w:rsidP="000F44D6">
      <w:pPr>
        <w:rPr>
          <w:rFonts w:ascii="Arial" w:hAnsi="Arial" w:cs="Arial"/>
          <w:sz w:val="22"/>
          <w:szCs w:val="22"/>
        </w:rPr>
      </w:pPr>
      <w:r>
        <w:rPr>
          <w:rFonts w:ascii="Arial" w:hAnsi="Arial" w:cs="Arial"/>
          <w:sz w:val="22"/>
          <w:szCs w:val="22"/>
        </w:rPr>
        <w:lastRenderedPageBreak/>
        <w:t>Those that were no longer self-employed were included in the sample and asked questions such as:</w:t>
      </w:r>
    </w:p>
    <w:p w:rsidR="000F44D6" w:rsidRDefault="000F44D6" w:rsidP="000F44D6">
      <w:pPr>
        <w:pStyle w:val="ListParagraph"/>
        <w:numPr>
          <w:ilvl w:val="0"/>
          <w:numId w:val="3"/>
        </w:numPr>
        <w:rPr>
          <w:rFonts w:ascii="Arial" w:hAnsi="Arial" w:cs="Arial"/>
          <w:sz w:val="22"/>
          <w:szCs w:val="22"/>
        </w:rPr>
      </w:pPr>
      <w:r>
        <w:rPr>
          <w:rFonts w:ascii="Arial" w:hAnsi="Arial" w:cs="Arial"/>
          <w:sz w:val="22"/>
          <w:szCs w:val="22"/>
        </w:rPr>
        <w:t>Why is it that you are no longer self-employed in your main job?</w:t>
      </w:r>
    </w:p>
    <w:p w:rsidR="000F44D6" w:rsidRDefault="000F44D6" w:rsidP="000F44D6">
      <w:pPr>
        <w:pStyle w:val="ListParagraph"/>
        <w:numPr>
          <w:ilvl w:val="0"/>
          <w:numId w:val="3"/>
        </w:numPr>
        <w:rPr>
          <w:rFonts w:ascii="Arial" w:hAnsi="Arial" w:cs="Arial"/>
          <w:sz w:val="22"/>
          <w:szCs w:val="22"/>
        </w:rPr>
      </w:pPr>
      <w:r>
        <w:rPr>
          <w:rFonts w:ascii="Arial" w:hAnsi="Arial" w:cs="Arial"/>
          <w:sz w:val="22"/>
          <w:szCs w:val="22"/>
        </w:rPr>
        <w:t>When you were self-employed as your main activity, to what extent were the following a problem to you?</w:t>
      </w:r>
    </w:p>
    <w:p w:rsidR="000F44D6" w:rsidRPr="000F44D6" w:rsidRDefault="000F44D6" w:rsidP="000F44D6">
      <w:pPr>
        <w:rPr>
          <w:rFonts w:ascii="Arial" w:hAnsi="Arial" w:cs="Arial"/>
          <w:sz w:val="22"/>
          <w:szCs w:val="22"/>
        </w:rPr>
      </w:pPr>
    </w:p>
    <w:p w:rsidR="00B133BB" w:rsidRDefault="000F44D6" w:rsidP="00B133BB">
      <w:pPr>
        <w:rPr>
          <w:rFonts w:ascii="Arial" w:hAnsi="Arial" w:cs="Arial"/>
          <w:sz w:val="22"/>
          <w:szCs w:val="22"/>
        </w:rPr>
      </w:pPr>
      <w:r>
        <w:rPr>
          <w:rFonts w:ascii="Arial" w:hAnsi="Arial" w:cs="Arial"/>
          <w:sz w:val="22"/>
          <w:szCs w:val="22"/>
        </w:rPr>
        <w:t xml:space="preserve">Those identifying themselves as no longer being self-employed made up approximately 13% of the </w:t>
      </w:r>
      <w:r w:rsidR="009F332C">
        <w:rPr>
          <w:rFonts w:ascii="Arial" w:hAnsi="Arial" w:cs="Arial"/>
          <w:sz w:val="22"/>
          <w:szCs w:val="22"/>
        </w:rPr>
        <w:t xml:space="preserve">unweighted </w:t>
      </w:r>
      <w:r>
        <w:rPr>
          <w:rFonts w:ascii="Arial" w:hAnsi="Arial" w:cs="Arial"/>
          <w:sz w:val="22"/>
          <w:szCs w:val="22"/>
        </w:rPr>
        <w:t xml:space="preserve">sample. </w:t>
      </w:r>
    </w:p>
    <w:p w:rsidR="000F44D6" w:rsidRDefault="000F44D6" w:rsidP="00B133BB">
      <w:pPr>
        <w:rPr>
          <w:rFonts w:ascii="Arial" w:hAnsi="Arial" w:cs="Arial"/>
          <w:sz w:val="22"/>
          <w:szCs w:val="22"/>
        </w:rPr>
      </w:pPr>
    </w:p>
    <w:p w:rsidR="000F44D6" w:rsidRDefault="000F44D6" w:rsidP="000F44D6">
      <w:pPr>
        <w:pStyle w:val="ListParagraph"/>
        <w:numPr>
          <w:ilvl w:val="0"/>
          <w:numId w:val="1"/>
        </w:numPr>
        <w:rPr>
          <w:rFonts w:ascii="Arial" w:hAnsi="Arial" w:cs="Arial"/>
          <w:b/>
          <w:sz w:val="22"/>
          <w:szCs w:val="22"/>
        </w:rPr>
      </w:pPr>
      <w:r>
        <w:rPr>
          <w:rFonts w:ascii="Arial" w:hAnsi="Arial" w:cs="Arial"/>
          <w:b/>
          <w:sz w:val="22"/>
          <w:szCs w:val="22"/>
        </w:rPr>
        <w:t>Sample Design for the BIS Self-employed Survey</w:t>
      </w:r>
    </w:p>
    <w:p w:rsidR="000F44D6" w:rsidRDefault="000F44D6" w:rsidP="000F44D6">
      <w:pPr>
        <w:rPr>
          <w:rFonts w:ascii="Arial" w:hAnsi="Arial" w:cs="Arial"/>
          <w:b/>
          <w:sz w:val="22"/>
          <w:szCs w:val="22"/>
        </w:rPr>
      </w:pPr>
    </w:p>
    <w:p w:rsidR="000F44D6" w:rsidRDefault="009F332C" w:rsidP="000F44D6">
      <w:pPr>
        <w:rPr>
          <w:rFonts w:ascii="Arial" w:hAnsi="Arial" w:cs="Arial"/>
          <w:sz w:val="22"/>
          <w:szCs w:val="22"/>
        </w:rPr>
      </w:pPr>
      <w:r>
        <w:rPr>
          <w:rFonts w:ascii="Arial" w:hAnsi="Arial" w:cs="Arial"/>
          <w:sz w:val="22"/>
          <w:szCs w:val="22"/>
        </w:rPr>
        <w:t>Since t</w:t>
      </w:r>
      <w:r w:rsidR="000F44D6">
        <w:rPr>
          <w:rFonts w:ascii="Arial" w:hAnsi="Arial" w:cs="Arial"/>
          <w:sz w:val="22"/>
          <w:szCs w:val="22"/>
        </w:rPr>
        <w:t>he purpose of the survey was to collect information on what it is currently like to be self-employed in the UK</w:t>
      </w:r>
      <w:r>
        <w:rPr>
          <w:rFonts w:ascii="Arial" w:hAnsi="Arial" w:cs="Arial"/>
          <w:sz w:val="22"/>
          <w:szCs w:val="22"/>
        </w:rPr>
        <w:t>,</w:t>
      </w:r>
      <w:r w:rsidR="000F44D6">
        <w:rPr>
          <w:rFonts w:ascii="Arial" w:hAnsi="Arial" w:cs="Arial"/>
          <w:sz w:val="22"/>
          <w:szCs w:val="22"/>
        </w:rPr>
        <w:t xml:space="preserve"> </w:t>
      </w:r>
      <w:r>
        <w:rPr>
          <w:rFonts w:ascii="Arial" w:hAnsi="Arial" w:cs="Arial"/>
          <w:sz w:val="22"/>
          <w:szCs w:val="22"/>
        </w:rPr>
        <w:t>t</w:t>
      </w:r>
      <w:r w:rsidR="000F44D6">
        <w:rPr>
          <w:rFonts w:ascii="Arial" w:hAnsi="Arial" w:cs="Arial"/>
          <w:sz w:val="22"/>
          <w:szCs w:val="22"/>
        </w:rPr>
        <w:t xml:space="preserve">he population of interest was </w:t>
      </w:r>
      <w:r>
        <w:rPr>
          <w:rFonts w:ascii="Arial" w:hAnsi="Arial" w:cs="Arial"/>
          <w:sz w:val="22"/>
          <w:szCs w:val="22"/>
        </w:rPr>
        <w:t xml:space="preserve">defined as </w:t>
      </w:r>
      <w:r w:rsidR="000F44D6">
        <w:rPr>
          <w:rFonts w:ascii="Arial" w:hAnsi="Arial" w:cs="Arial"/>
          <w:sz w:val="22"/>
          <w:szCs w:val="22"/>
        </w:rPr>
        <w:t>all of those identifying themselves as being self-employed in the UK.</w:t>
      </w:r>
      <w:r w:rsidR="00F23FF4">
        <w:rPr>
          <w:rFonts w:ascii="Arial" w:hAnsi="Arial" w:cs="Arial"/>
          <w:sz w:val="22"/>
          <w:szCs w:val="22"/>
        </w:rPr>
        <w:t xml:space="preserve"> As q</w:t>
      </w:r>
      <w:r w:rsidR="00D764F2">
        <w:rPr>
          <w:rFonts w:ascii="Arial" w:hAnsi="Arial" w:cs="Arial"/>
          <w:sz w:val="22"/>
          <w:szCs w:val="22"/>
        </w:rPr>
        <w:t>uestions were asked of people wh</w:t>
      </w:r>
      <w:r w:rsidR="00F23FF4">
        <w:rPr>
          <w:rFonts w:ascii="Arial" w:hAnsi="Arial" w:cs="Arial"/>
          <w:sz w:val="22"/>
          <w:szCs w:val="22"/>
        </w:rPr>
        <w:t>o were self-employed in 2014 but not</w:t>
      </w:r>
      <w:r w:rsidR="0003362F">
        <w:rPr>
          <w:rFonts w:ascii="Arial" w:hAnsi="Arial" w:cs="Arial"/>
          <w:sz w:val="22"/>
          <w:szCs w:val="22"/>
        </w:rPr>
        <w:t xml:space="preserve"> necessarily</w:t>
      </w:r>
      <w:r w:rsidR="00F23FF4">
        <w:rPr>
          <w:rFonts w:ascii="Arial" w:hAnsi="Arial" w:cs="Arial"/>
          <w:sz w:val="22"/>
          <w:szCs w:val="22"/>
        </w:rPr>
        <w:t xml:space="preserve"> at the time of the interview in 2015 this reduces to those who were self-employed in 2014.</w:t>
      </w:r>
    </w:p>
    <w:p w:rsidR="000F44D6" w:rsidRDefault="000F44D6" w:rsidP="000F44D6">
      <w:pPr>
        <w:rPr>
          <w:rFonts w:ascii="Arial" w:hAnsi="Arial" w:cs="Arial"/>
          <w:sz w:val="22"/>
          <w:szCs w:val="22"/>
        </w:rPr>
      </w:pPr>
    </w:p>
    <w:p w:rsidR="000F44D6" w:rsidRDefault="000F44D6" w:rsidP="000F44D6">
      <w:pPr>
        <w:rPr>
          <w:rFonts w:ascii="Arial" w:hAnsi="Arial" w:cs="Arial"/>
          <w:sz w:val="22"/>
          <w:szCs w:val="22"/>
        </w:rPr>
      </w:pPr>
      <w:r>
        <w:rPr>
          <w:rFonts w:ascii="Arial" w:hAnsi="Arial" w:cs="Arial"/>
          <w:sz w:val="22"/>
          <w:szCs w:val="22"/>
        </w:rPr>
        <w:t xml:space="preserve">For most social surveys the Postcode Address File (PAF) is used as a sampling frame from which addresses are sampled. This does not provide information about which addresses contain an individual who is self-employed. </w:t>
      </w:r>
      <w:r w:rsidR="00C23691">
        <w:rPr>
          <w:rFonts w:ascii="Arial" w:hAnsi="Arial" w:cs="Arial"/>
          <w:sz w:val="22"/>
          <w:szCs w:val="22"/>
        </w:rPr>
        <w:t xml:space="preserve">As a result a very large sample would have to be drawn to compensate for the addresses where there were no self-employed individuals present. This would be costly and increase the </w:t>
      </w:r>
      <w:r w:rsidR="009F332C">
        <w:rPr>
          <w:rFonts w:ascii="Arial" w:hAnsi="Arial" w:cs="Arial"/>
          <w:sz w:val="22"/>
          <w:szCs w:val="22"/>
        </w:rPr>
        <w:t>resources</w:t>
      </w:r>
      <w:r w:rsidR="00C23691">
        <w:rPr>
          <w:rFonts w:ascii="Arial" w:hAnsi="Arial" w:cs="Arial"/>
          <w:sz w:val="22"/>
          <w:szCs w:val="22"/>
        </w:rPr>
        <w:t xml:space="preserve"> needed to conduct the survey. </w:t>
      </w:r>
    </w:p>
    <w:p w:rsidR="00C23691" w:rsidRDefault="00C23691" w:rsidP="000F44D6">
      <w:pPr>
        <w:rPr>
          <w:rFonts w:ascii="Arial" w:hAnsi="Arial" w:cs="Arial"/>
          <w:sz w:val="22"/>
          <w:szCs w:val="22"/>
        </w:rPr>
      </w:pPr>
    </w:p>
    <w:p w:rsidR="00C23691" w:rsidRDefault="00C23691" w:rsidP="000F44D6">
      <w:pPr>
        <w:rPr>
          <w:rFonts w:ascii="Arial" w:hAnsi="Arial" w:cs="Arial"/>
          <w:sz w:val="22"/>
          <w:szCs w:val="22"/>
        </w:rPr>
      </w:pPr>
      <w:r>
        <w:rPr>
          <w:rFonts w:ascii="Arial" w:hAnsi="Arial" w:cs="Arial"/>
          <w:sz w:val="22"/>
          <w:szCs w:val="22"/>
        </w:rPr>
        <w:t>However</w:t>
      </w:r>
      <w:r w:rsidR="006052EC">
        <w:rPr>
          <w:rFonts w:ascii="Arial" w:hAnsi="Arial" w:cs="Arial"/>
          <w:sz w:val="22"/>
          <w:szCs w:val="22"/>
        </w:rPr>
        <w:t>,</w:t>
      </w:r>
      <w:r>
        <w:rPr>
          <w:rFonts w:ascii="Arial" w:hAnsi="Arial" w:cs="Arial"/>
          <w:sz w:val="22"/>
          <w:szCs w:val="22"/>
        </w:rPr>
        <w:t xml:space="preserve"> the LFS collects information on employment from individuals. This can be used to target those that we know have identified themselves as being self-employed allowing for a more efficient sampling frame. </w:t>
      </w:r>
    </w:p>
    <w:p w:rsidR="00C23691" w:rsidRDefault="00C23691" w:rsidP="000F44D6">
      <w:pPr>
        <w:rPr>
          <w:rFonts w:ascii="Arial" w:hAnsi="Arial" w:cs="Arial"/>
          <w:sz w:val="22"/>
          <w:szCs w:val="22"/>
        </w:rPr>
      </w:pPr>
    </w:p>
    <w:p w:rsidR="00C23691" w:rsidRDefault="00C23691" w:rsidP="00C23691">
      <w:pPr>
        <w:pStyle w:val="ListParagraph"/>
        <w:numPr>
          <w:ilvl w:val="1"/>
          <w:numId w:val="1"/>
        </w:numPr>
        <w:rPr>
          <w:rFonts w:ascii="Arial" w:hAnsi="Arial" w:cs="Arial"/>
          <w:b/>
          <w:sz w:val="22"/>
          <w:szCs w:val="22"/>
        </w:rPr>
      </w:pPr>
      <w:r>
        <w:rPr>
          <w:rFonts w:ascii="Arial" w:hAnsi="Arial" w:cs="Arial"/>
          <w:b/>
          <w:sz w:val="22"/>
          <w:szCs w:val="22"/>
        </w:rPr>
        <w:t>Labour Force Survey</w:t>
      </w:r>
    </w:p>
    <w:p w:rsidR="00C23691" w:rsidRDefault="00C23691" w:rsidP="00C23691">
      <w:pPr>
        <w:rPr>
          <w:rFonts w:ascii="Arial" w:hAnsi="Arial" w:cs="Arial"/>
          <w:b/>
          <w:sz w:val="22"/>
          <w:szCs w:val="22"/>
        </w:rPr>
      </w:pPr>
    </w:p>
    <w:p w:rsidR="00C23691" w:rsidRDefault="00C23691" w:rsidP="00C23691">
      <w:pPr>
        <w:rPr>
          <w:rFonts w:ascii="Arial" w:hAnsi="Arial" w:cs="Arial"/>
          <w:sz w:val="22"/>
          <w:szCs w:val="22"/>
        </w:rPr>
      </w:pPr>
      <w:r w:rsidRPr="00C23691">
        <w:rPr>
          <w:rFonts w:ascii="Arial" w:hAnsi="Arial" w:cs="Arial"/>
          <w:sz w:val="22"/>
          <w:szCs w:val="22"/>
        </w:rPr>
        <w:t xml:space="preserve">The LFS is a quarterly survey collecting information </w:t>
      </w:r>
      <w:r w:rsidR="009C3635">
        <w:rPr>
          <w:rFonts w:ascii="Arial" w:hAnsi="Arial" w:cs="Arial"/>
          <w:sz w:val="22"/>
          <w:szCs w:val="22"/>
        </w:rPr>
        <w:t>about employment status</w:t>
      </w:r>
      <w:r w:rsidR="009F332C">
        <w:rPr>
          <w:rFonts w:ascii="Arial" w:hAnsi="Arial" w:cs="Arial"/>
          <w:sz w:val="22"/>
          <w:szCs w:val="22"/>
        </w:rPr>
        <w:t>, and has</w:t>
      </w:r>
      <w:r w:rsidR="009C3635">
        <w:rPr>
          <w:rFonts w:ascii="Arial" w:hAnsi="Arial" w:cs="Arial"/>
          <w:sz w:val="22"/>
          <w:szCs w:val="22"/>
        </w:rPr>
        <w:t xml:space="preserve"> a systematic sample </w:t>
      </w:r>
      <w:r w:rsidR="009F332C">
        <w:rPr>
          <w:rFonts w:ascii="Arial" w:hAnsi="Arial" w:cs="Arial"/>
          <w:sz w:val="22"/>
          <w:szCs w:val="22"/>
        </w:rPr>
        <w:t xml:space="preserve">drawn </w:t>
      </w:r>
      <w:r w:rsidR="009C3635">
        <w:rPr>
          <w:rFonts w:ascii="Arial" w:hAnsi="Arial" w:cs="Arial"/>
          <w:sz w:val="22"/>
          <w:szCs w:val="22"/>
        </w:rPr>
        <w:t xml:space="preserve">from the PAF. This creates implicit geographical </w:t>
      </w:r>
      <w:r w:rsidR="00512592">
        <w:rPr>
          <w:rFonts w:ascii="Arial" w:hAnsi="Arial" w:cs="Arial"/>
          <w:sz w:val="22"/>
          <w:szCs w:val="22"/>
        </w:rPr>
        <w:t>strata</w:t>
      </w:r>
      <w:r w:rsidR="009C3635">
        <w:rPr>
          <w:rFonts w:ascii="Arial" w:hAnsi="Arial" w:cs="Arial"/>
          <w:sz w:val="22"/>
          <w:szCs w:val="22"/>
        </w:rPr>
        <w:t xml:space="preserve"> ensuring that there is a good geographical spread across the </w:t>
      </w:r>
      <w:r w:rsidR="009F332C">
        <w:rPr>
          <w:rFonts w:ascii="Arial" w:hAnsi="Arial" w:cs="Arial"/>
          <w:sz w:val="22"/>
          <w:szCs w:val="22"/>
        </w:rPr>
        <w:t>country</w:t>
      </w:r>
      <w:r w:rsidR="009C3635">
        <w:rPr>
          <w:rFonts w:ascii="Arial" w:hAnsi="Arial" w:cs="Arial"/>
          <w:sz w:val="22"/>
          <w:szCs w:val="22"/>
        </w:rPr>
        <w:t>. The sample is unclustered at the household level, but, as all individuals within a household are sampled, the sample is clustered at the individual level.</w:t>
      </w:r>
    </w:p>
    <w:p w:rsidR="009C3635" w:rsidRDefault="009C3635" w:rsidP="00C23691">
      <w:pPr>
        <w:rPr>
          <w:rFonts w:ascii="Arial" w:hAnsi="Arial" w:cs="Arial"/>
          <w:sz w:val="22"/>
          <w:szCs w:val="22"/>
        </w:rPr>
      </w:pPr>
    </w:p>
    <w:p w:rsidR="009C3635" w:rsidRDefault="009C3635" w:rsidP="00C23691">
      <w:pPr>
        <w:rPr>
          <w:rFonts w:ascii="Arial" w:hAnsi="Arial" w:cs="Arial"/>
          <w:sz w:val="22"/>
          <w:szCs w:val="22"/>
        </w:rPr>
      </w:pPr>
      <w:r>
        <w:rPr>
          <w:rFonts w:ascii="Arial" w:hAnsi="Arial" w:cs="Arial"/>
          <w:sz w:val="22"/>
          <w:szCs w:val="22"/>
        </w:rPr>
        <w:t xml:space="preserve">The LFS has a sample size of approximately 40,000 responding households in each quarter which equates to approximately 90,000 responding individuals. </w:t>
      </w:r>
      <w:r w:rsidR="00B675F2">
        <w:rPr>
          <w:rFonts w:ascii="Arial" w:hAnsi="Arial" w:cs="Arial"/>
          <w:sz w:val="22"/>
          <w:szCs w:val="22"/>
        </w:rPr>
        <w:t>This provides</w:t>
      </w:r>
      <w:r>
        <w:rPr>
          <w:rFonts w:ascii="Arial" w:hAnsi="Arial" w:cs="Arial"/>
          <w:sz w:val="22"/>
          <w:szCs w:val="22"/>
        </w:rPr>
        <w:t xml:space="preserve"> a large number of individuals that may be considered for the sampling frame.</w:t>
      </w:r>
    </w:p>
    <w:p w:rsidR="009C3635" w:rsidRDefault="009C3635" w:rsidP="00C23691">
      <w:pPr>
        <w:rPr>
          <w:rFonts w:ascii="Arial" w:hAnsi="Arial" w:cs="Arial"/>
          <w:sz w:val="22"/>
          <w:szCs w:val="22"/>
        </w:rPr>
      </w:pPr>
    </w:p>
    <w:p w:rsidR="009C3635" w:rsidRDefault="009C3635" w:rsidP="00C23691">
      <w:pPr>
        <w:rPr>
          <w:rFonts w:ascii="Arial" w:hAnsi="Arial" w:cs="Arial"/>
          <w:sz w:val="22"/>
          <w:szCs w:val="22"/>
        </w:rPr>
      </w:pPr>
      <w:r>
        <w:rPr>
          <w:rFonts w:ascii="Arial" w:hAnsi="Arial" w:cs="Arial"/>
          <w:sz w:val="22"/>
          <w:szCs w:val="22"/>
        </w:rPr>
        <w:t>A rotating panel design is used in the sample design of the LFS. This has been illustrated in Figure 1.</w:t>
      </w:r>
    </w:p>
    <w:p w:rsidR="009C3635" w:rsidRDefault="009C3635" w:rsidP="00C23691">
      <w:pPr>
        <w:rPr>
          <w:rFonts w:ascii="Arial" w:hAnsi="Arial" w:cs="Arial"/>
          <w:sz w:val="22"/>
          <w:szCs w:val="22"/>
        </w:rPr>
      </w:pPr>
    </w:p>
    <w:p w:rsidR="003F2654" w:rsidRDefault="003F2654" w:rsidP="00C23691">
      <w:pPr>
        <w:rPr>
          <w:rFonts w:ascii="Arial" w:hAnsi="Arial" w:cs="Arial"/>
          <w:sz w:val="22"/>
          <w:szCs w:val="22"/>
        </w:rPr>
      </w:pPr>
    </w:p>
    <w:p w:rsidR="003F2654" w:rsidRDefault="003F2654" w:rsidP="00C23691">
      <w:pPr>
        <w:rPr>
          <w:rFonts w:ascii="Arial" w:hAnsi="Arial" w:cs="Arial"/>
          <w:sz w:val="22"/>
          <w:szCs w:val="22"/>
        </w:rPr>
      </w:pPr>
    </w:p>
    <w:p w:rsidR="003F2654" w:rsidRDefault="003F2654" w:rsidP="00C23691">
      <w:pPr>
        <w:rPr>
          <w:rFonts w:ascii="Arial" w:hAnsi="Arial" w:cs="Arial"/>
          <w:sz w:val="22"/>
          <w:szCs w:val="22"/>
        </w:rPr>
      </w:pPr>
    </w:p>
    <w:p w:rsidR="003F2654" w:rsidRDefault="003F2654">
      <w:pPr>
        <w:rPr>
          <w:rFonts w:ascii="Arial" w:hAnsi="Arial" w:cs="Arial"/>
          <w:sz w:val="22"/>
          <w:szCs w:val="22"/>
        </w:rPr>
      </w:pPr>
      <w:r>
        <w:rPr>
          <w:rFonts w:ascii="Arial" w:hAnsi="Arial" w:cs="Arial"/>
          <w:sz w:val="22"/>
          <w:szCs w:val="22"/>
        </w:rPr>
        <w:br w:type="page"/>
      </w:r>
    </w:p>
    <w:p w:rsidR="009C3635" w:rsidRDefault="009C3635" w:rsidP="00C23691">
      <w:pPr>
        <w:rPr>
          <w:rFonts w:ascii="Arial" w:hAnsi="Arial" w:cs="Arial"/>
          <w:sz w:val="22"/>
          <w:szCs w:val="22"/>
        </w:rPr>
      </w:pPr>
      <w:r>
        <w:rPr>
          <w:rFonts w:ascii="Arial" w:hAnsi="Arial" w:cs="Arial"/>
          <w:sz w:val="22"/>
          <w:szCs w:val="22"/>
        </w:rPr>
        <w:lastRenderedPageBreak/>
        <w:t>Figure 1: Rotating panel diagram</w:t>
      </w:r>
    </w:p>
    <w:tbl>
      <w:tblPr>
        <w:tblW w:w="6394" w:type="dxa"/>
        <w:tblInd w:w="-15" w:type="dxa"/>
        <w:tblCellMar>
          <w:left w:w="0" w:type="dxa"/>
          <w:right w:w="0" w:type="dxa"/>
        </w:tblCellMar>
        <w:tblLook w:val="04A0"/>
      </w:tblPr>
      <w:tblGrid>
        <w:gridCol w:w="866"/>
        <w:gridCol w:w="709"/>
        <w:gridCol w:w="708"/>
        <w:gridCol w:w="709"/>
        <w:gridCol w:w="709"/>
        <w:gridCol w:w="709"/>
        <w:gridCol w:w="708"/>
        <w:gridCol w:w="709"/>
        <w:gridCol w:w="567"/>
      </w:tblGrid>
      <w:tr w:rsidR="00D311A9" w:rsidRPr="009C3635" w:rsidTr="00D311A9">
        <w:trPr>
          <w:trHeight w:val="79"/>
        </w:trPr>
        <w:tc>
          <w:tcPr>
            <w:tcW w:w="866" w:type="dxa"/>
            <w:tcBorders>
              <w:top w:val="nil"/>
              <w:left w:val="nil"/>
              <w:bottom w:val="single" w:sz="4" w:space="0" w:color="000000"/>
              <w:right w:val="nil"/>
            </w:tcBorders>
          </w:tcPr>
          <w:p w:rsidR="00D311A9" w:rsidRPr="009C3635" w:rsidRDefault="00D311A9" w:rsidP="009C3635">
            <w:pPr>
              <w:spacing w:line="79" w:lineRule="atLeast"/>
              <w:textAlignment w:val="bottom"/>
              <w:rPr>
                <w:rFonts w:ascii="Arial" w:eastAsia="MS PGothic" w:hAnsi="Arial" w:cs="Arial"/>
                <w:b/>
                <w:bCs/>
                <w:color w:val="000000"/>
                <w:kern w:val="24"/>
                <w:sz w:val="22"/>
                <w:szCs w:val="22"/>
                <w:lang w:val="en-GB" w:eastAsia="en-GB"/>
              </w:rPr>
            </w:pPr>
          </w:p>
        </w:tc>
        <w:tc>
          <w:tcPr>
            <w:tcW w:w="70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311A9" w:rsidRPr="009C3635" w:rsidRDefault="00D311A9" w:rsidP="009C3635">
            <w:pPr>
              <w:spacing w:line="79" w:lineRule="atLeast"/>
              <w:textAlignment w:val="bottom"/>
              <w:rPr>
                <w:rFonts w:ascii="Arial" w:hAnsi="Arial" w:cs="Arial"/>
                <w:sz w:val="36"/>
                <w:szCs w:val="36"/>
                <w:lang w:val="en-GB" w:eastAsia="en-GB"/>
              </w:rPr>
            </w:pPr>
            <w:r w:rsidRPr="009C3635">
              <w:rPr>
                <w:rFonts w:ascii="Arial" w:eastAsia="MS PGothic" w:hAnsi="Arial" w:cs="Arial"/>
                <w:b/>
                <w:bCs/>
                <w:color w:val="000000"/>
                <w:kern w:val="24"/>
                <w:sz w:val="22"/>
                <w:szCs w:val="22"/>
                <w:lang w:val="en-GB" w:eastAsia="en-GB"/>
              </w:rPr>
              <w:t>Q1</w:t>
            </w:r>
          </w:p>
        </w:tc>
        <w:tc>
          <w:tcPr>
            <w:tcW w:w="70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311A9" w:rsidRPr="009C3635" w:rsidRDefault="00D311A9" w:rsidP="009C3635">
            <w:pPr>
              <w:spacing w:line="79" w:lineRule="atLeast"/>
              <w:textAlignment w:val="bottom"/>
              <w:rPr>
                <w:rFonts w:ascii="Arial" w:hAnsi="Arial" w:cs="Arial"/>
                <w:sz w:val="36"/>
                <w:szCs w:val="36"/>
                <w:lang w:val="en-GB" w:eastAsia="en-GB"/>
              </w:rPr>
            </w:pPr>
            <w:r w:rsidRPr="009C3635">
              <w:rPr>
                <w:rFonts w:ascii="Arial" w:eastAsia="MS PGothic" w:hAnsi="Arial" w:cs="Arial"/>
                <w:b/>
                <w:bCs/>
                <w:color w:val="000000"/>
                <w:kern w:val="24"/>
                <w:sz w:val="22"/>
                <w:szCs w:val="22"/>
                <w:lang w:val="en-GB" w:eastAsia="en-GB"/>
              </w:rPr>
              <w:t>Q2</w:t>
            </w:r>
          </w:p>
        </w:tc>
        <w:tc>
          <w:tcPr>
            <w:tcW w:w="70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311A9" w:rsidRPr="009C3635" w:rsidRDefault="00D311A9" w:rsidP="009C3635">
            <w:pPr>
              <w:spacing w:line="79" w:lineRule="atLeast"/>
              <w:textAlignment w:val="bottom"/>
              <w:rPr>
                <w:rFonts w:ascii="Arial" w:hAnsi="Arial" w:cs="Arial"/>
                <w:sz w:val="36"/>
                <w:szCs w:val="36"/>
                <w:lang w:val="en-GB" w:eastAsia="en-GB"/>
              </w:rPr>
            </w:pPr>
            <w:r w:rsidRPr="009C3635">
              <w:rPr>
                <w:rFonts w:ascii="Arial" w:eastAsia="MS PGothic" w:hAnsi="Arial" w:cs="Arial"/>
                <w:b/>
                <w:bCs/>
                <w:color w:val="000000"/>
                <w:kern w:val="24"/>
                <w:sz w:val="22"/>
                <w:szCs w:val="22"/>
                <w:lang w:val="en-GB" w:eastAsia="en-GB"/>
              </w:rPr>
              <w:t>Q3</w:t>
            </w:r>
          </w:p>
        </w:tc>
        <w:tc>
          <w:tcPr>
            <w:tcW w:w="70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311A9" w:rsidRPr="009C3635" w:rsidRDefault="00D311A9" w:rsidP="009C3635">
            <w:pPr>
              <w:spacing w:line="79" w:lineRule="atLeast"/>
              <w:textAlignment w:val="bottom"/>
              <w:rPr>
                <w:rFonts w:ascii="Arial" w:hAnsi="Arial" w:cs="Arial"/>
                <w:sz w:val="36"/>
                <w:szCs w:val="36"/>
                <w:lang w:val="en-GB" w:eastAsia="en-GB"/>
              </w:rPr>
            </w:pPr>
            <w:r w:rsidRPr="009C3635">
              <w:rPr>
                <w:rFonts w:ascii="Arial" w:eastAsia="MS PGothic" w:hAnsi="Arial" w:cs="Arial"/>
                <w:b/>
                <w:bCs/>
                <w:color w:val="000000"/>
                <w:kern w:val="24"/>
                <w:sz w:val="22"/>
                <w:szCs w:val="22"/>
                <w:lang w:val="en-GB" w:eastAsia="en-GB"/>
              </w:rPr>
              <w:t>Q4</w:t>
            </w:r>
          </w:p>
        </w:tc>
        <w:tc>
          <w:tcPr>
            <w:tcW w:w="70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311A9" w:rsidRPr="009C3635" w:rsidRDefault="00D311A9" w:rsidP="009C3635">
            <w:pPr>
              <w:spacing w:line="79" w:lineRule="atLeast"/>
              <w:textAlignment w:val="bottom"/>
              <w:rPr>
                <w:rFonts w:ascii="Arial" w:hAnsi="Arial" w:cs="Arial"/>
                <w:sz w:val="36"/>
                <w:szCs w:val="36"/>
                <w:lang w:val="en-GB" w:eastAsia="en-GB"/>
              </w:rPr>
            </w:pPr>
            <w:r w:rsidRPr="009C3635">
              <w:rPr>
                <w:rFonts w:ascii="Arial" w:eastAsia="MS PGothic" w:hAnsi="Arial" w:cs="Arial"/>
                <w:b/>
                <w:bCs/>
                <w:color w:val="000000"/>
                <w:kern w:val="24"/>
                <w:sz w:val="22"/>
                <w:szCs w:val="22"/>
                <w:lang w:val="en-GB" w:eastAsia="en-GB"/>
              </w:rPr>
              <w:t>Q1</w:t>
            </w:r>
          </w:p>
        </w:tc>
        <w:tc>
          <w:tcPr>
            <w:tcW w:w="70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311A9" w:rsidRPr="009C3635" w:rsidRDefault="00D311A9" w:rsidP="009C3635">
            <w:pPr>
              <w:spacing w:line="79" w:lineRule="atLeast"/>
              <w:textAlignment w:val="bottom"/>
              <w:rPr>
                <w:rFonts w:ascii="Arial" w:hAnsi="Arial" w:cs="Arial"/>
                <w:sz w:val="36"/>
                <w:szCs w:val="36"/>
                <w:lang w:val="en-GB" w:eastAsia="en-GB"/>
              </w:rPr>
            </w:pPr>
            <w:r w:rsidRPr="009C3635">
              <w:rPr>
                <w:rFonts w:ascii="Arial" w:eastAsia="MS PGothic" w:hAnsi="Arial" w:cs="Arial"/>
                <w:b/>
                <w:bCs/>
                <w:color w:val="000000"/>
                <w:kern w:val="24"/>
                <w:sz w:val="22"/>
                <w:szCs w:val="22"/>
                <w:lang w:val="en-GB" w:eastAsia="en-GB"/>
              </w:rPr>
              <w:t>Q2</w:t>
            </w:r>
          </w:p>
        </w:tc>
        <w:tc>
          <w:tcPr>
            <w:tcW w:w="70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311A9" w:rsidRPr="009C3635" w:rsidRDefault="00D311A9" w:rsidP="009C3635">
            <w:pPr>
              <w:spacing w:line="79" w:lineRule="atLeast"/>
              <w:textAlignment w:val="bottom"/>
              <w:rPr>
                <w:rFonts w:ascii="Arial" w:hAnsi="Arial" w:cs="Arial"/>
                <w:sz w:val="36"/>
                <w:szCs w:val="36"/>
                <w:lang w:val="en-GB" w:eastAsia="en-GB"/>
              </w:rPr>
            </w:pPr>
            <w:r w:rsidRPr="009C3635">
              <w:rPr>
                <w:rFonts w:ascii="Arial" w:eastAsia="MS PGothic" w:hAnsi="Arial" w:cs="Arial"/>
                <w:b/>
                <w:bCs/>
                <w:color w:val="000000"/>
                <w:kern w:val="24"/>
                <w:sz w:val="22"/>
                <w:szCs w:val="22"/>
                <w:lang w:val="en-GB" w:eastAsia="en-GB"/>
              </w:rPr>
              <w:t>Q3</w:t>
            </w:r>
          </w:p>
        </w:tc>
        <w:tc>
          <w:tcPr>
            <w:tcW w:w="56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311A9" w:rsidRPr="009C3635" w:rsidRDefault="00D311A9" w:rsidP="009C3635">
            <w:pPr>
              <w:spacing w:line="79" w:lineRule="atLeast"/>
              <w:textAlignment w:val="bottom"/>
              <w:rPr>
                <w:rFonts w:ascii="Arial" w:hAnsi="Arial" w:cs="Arial"/>
                <w:sz w:val="36"/>
                <w:szCs w:val="36"/>
                <w:lang w:val="en-GB" w:eastAsia="en-GB"/>
              </w:rPr>
            </w:pPr>
            <w:r w:rsidRPr="009C3635">
              <w:rPr>
                <w:rFonts w:ascii="Arial" w:eastAsia="MS PGothic" w:hAnsi="Arial" w:cs="Arial"/>
                <w:b/>
                <w:bCs/>
                <w:color w:val="000000"/>
                <w:kern w:val="24"/>
                <w:sz w:val="22"/>
                <w:szCs w:val="22"/>
                <w:lang w:val="en-GB" w:eastAsia="en-GB"/>
              </w:rPr>
              <w:t>Q4</w:t>
            </w:r>
          </w:p>
        </w:tc>
      </w:tr>
      <w:tr w:rsidR="00D311A9" w:rsidRPr="009C3635" w:rsidTr="00D311A9">
        <w:trPr>
          <w:trHeight w:val="515"/>
        </w:trPr>
        <w:tc>
          <w:tcPr>
            <w:tcW w:w="866" w:type="dxa"/>
            <w:tcBorders>
              <w:top w:val="single" w:sz="4" w:space="0" w:color="000000"/>
              <w:left w:val="nil"/>
              <w:bottom w:val="nil"/>
              <w:right w:val="nil"/>
            </w:tcBorders>
          </w:tcPr>
          <w:p w:rsidR="00D311A9" w:rsidRPr="009C3635" w:rsidRDefault="00D311A9" w:rsidP="009C3635">
            <w:pPr>
              <w:textAlignment w:val="bottom"/>
              <w:rPr>
                <w:rFonts w:ascii="Arial" w:eastAsia="MS PGothic" w:hAnsi="Arial" w:cs="Arial"/>
                <w:color w:val="000000"/>
                <w:kern w:val="24"/>
                <w:sz w:val="22"/>
                <w:szCs w:val="22"/>
                <w:lang w:val="en-GB" w:eastAsia="en-GB"/>
              </w:rPr>
            </w:pPr>
          </w:p>
        </w:tc>
        <w:tc>
          <w:tcPr>
            <w:tcW w:w="70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rPr>
                <w:rFonts w:ascii="Arial" w:hAnsi="Arial" w:cs="Arial"/>
                <w:sz w:val="36"/>
                <w:szCs w:val="36"/>
                <w:lang w:val="en-GB" w:eastAsia="en-GB"/>
              </w:rPr>
            </w:pPr>
          </w:p>
        </w:tc>
        <w:tc>
          <w:tcPr>
            <w:tcW w:w="70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W1</w:t>
            </w:r>
          </w:p>
        </w:tc>
        <w:tc>
          <w:tcPr>
            <w:tcW w:w="708"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W2</w:t>
            </w:r>
          </w:p>
        </w:tc>
        <w:tc>
          <w:tcPr>
            <w:tcW w:w="709"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W3</w:t>
            </w:r>
          </w:p>
        </w:tc>
        <w:tc>
          <w:tcPr>
            <w:tcW w:w="567"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W4</w:t>
            </w:r>
          </w:p>
        </w:tc>
      </w:tr>
      <w:tr w:rsidR="00D311A9" w:rsidRPr="009C3635" w:rsidTr="00D311A9">
        <w:trPr>
          <w:trHeight w:val="567"/>
        </w:trPr>
        <w:tc>
          <w:tcPr>
            <w:tcW w:w="866" w:type="dxa"/>
            <w:tcBorders>
              <w:top w:val="nil"/>
              <w:left w:val="nil"/>
              <w:bottom w:val="nil"/>
              <w:right w:val="nil"/>
            </w:tcBorders>
            <w:vAlign w:val="bottom"/>
          </w:tcPr>
          <w:p w:rsidR="00D311A9" w:rsidRPr="00D311A9" w:rsidRDefault="00D311A9" w:rsidP="00D311A9">
            <w:pPr>
              <w:textAlignment w:val="bottom"/>
              <w:rPr>
                <w:rFonts w:ascii="Arial" w:eastAsia="MS PGothic" w:hAnsi="Arial" w:cs="Arial"/>
                <w:b/>
                <w:color w:val="000000"/>
                <w:kern w:val="24"/>
                <w:sz w:val="22"/>
                <w:szCs w:val="22"/>
                <w:lang w:val="en-GB" w:eastAsia="en-GB"/>
              </w:rPr>
            </w:pPr>
            <w:r w:rsidRPr="00D311A9">
              <w:rPr>
                <w:rFonts w:ascii="Arial" w:eastAsia="MS PGothic" w:hAnsi="Arial" w:cs="Arial"/>
                <w:b/>
                <w:color w:val="000000"/>
                <w:kern w:val="24"/>
                <w:sz w:val="22"/>
                <w:szCs w:val="22"/>
                <w:lang w:val="en-GB" w:eastAsia="en-GB"/>
              </w:rPr>
              <w:t>Panel 1</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single" w:sz="4" w:space="0" w:color="000000"/>
              <w:left w:val="single" w:sz="4" w:space="0" w:color="000000"/>
              <w:bottom w:val="nil"/>
              <w:right w:val="single" w:sz="4" w:space="0" w:color="000000"/>
            </w:tcBorders>
            <w:shd w:val="clear" w:color="auto" w:fill="00B050"/>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W1</w:t>
            </w:r>
          </w:p>
        </w:tc>
        <w:tc>
          <w:tcPr>
            <w:tcW w:w="709" w:type="dxa"/>
            <w:tcBorders>
              <w:top w:val="nil"/>
              <w:left w:val="single" w:sz="4" w:space="0" w:color="000000"/>
              <w:bottom w:val="nil"/>
              <w:right w:val="single" w:sz="4" w:space="0" w:color="000000"/>
            </w:tcBorders>
            <w:shd w:val="clear" w:color="auto" w:fill="00B050"/>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W2</w:t>
            </w:r>
          </w:p>
        </w:tc>
        <w:tc>
          <w:tcPr>
            <w:tcW w:w="708" w:type="dxa"/>
            <w:tcBorders>
              <w:top w:val="nil"/>
              <w:left w:val="single" w:sz="4" w:space="0" w:color="000000"/>
              <w:bottom w:val="nil"/>
              <w:right w:val="single" w:sz="4" w:space="0" w:color="000000"/>
            </w:tcBorders>
            <w:shd w:val="clear" w:color="auto" w:fill="00B050"/>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W3</w:t>
            </w:r>
          </w:p>
        </w:tc>
        <w:tc>
          <w:tcPr>
            <w:tcW w:w="709" w:type="dxa"/>
            <w:tcBorders>
              <w:top w:val="nil"/>
              <w:left w:val="single" w:sz="4" w:space="0" w:color="000000"/>
              <w:bottom w:val="nil"/>
              <w:right w:val="single" w:sz="4" w:space="0" w:color="000000"/>
            </w:tcBorders>
            <w:shd w:val="clear" w:color="auto" w:fill="00B050"/>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W4</w:t>
            </w:r>
          </w:p>
        </w:tc>
        <w:tc>
          <w:tcPr>
            <w:tcW w:w="567" w:type="dxa"/>
            <w:tcBorders>
              <w:top w:val="nil"/>
              <w:left w:val="single" w:sz="4" w:space="0" w:color="000000"/>
              <w:bottom w:val="single" w:sz="4" w:space="0" w:color="000000"/>
              <w:right w:val="single" w:sz="4" w:space="0" w:color="000000"/>
            </w:tcBorders>
            <w:shd w:val="clear" w:color="auto" w:fill="00B050"/>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W5</w:t>
            </w:r>
          </w:p>
        </w:tc>
      </w:tr>
      <w:tr w:rsidR="00D311A9" w:rsidRPr="009C3635" w:rsidTr="00D311A9">
        <w:trPr>
          <w:trHeight w:val="567"/>
        </w:trPr>
        <w:tc>
          <w:tcPr>
            <w:tcW w:w="866" w:type="dxa"/>
            <w:tcBorders>
              <w:top w:val="nil"/>
              <w:left w:val="nil"/>
              <w:bottom w:val="nil"/>
              <w:right w:val="nil"/>
            </w:tcBorders>
            <w:vAlign w:val="bottom"/>
          </w:tcPr>
          <w:p w:rsidR="00D311A9" w:rsidRPr="00D311A9" w:rsidRDefault="00D311A9" w:rsidP="00D311A9">
            <w:pPr>
              <w:textAlignment w:val="bottom"/>
              <w:rPr>
                <w:rFonts w:ascii="Arial" w:eastAsia="MS PGothic" w:hAnsi="Arial" w:cs="Arial"/>
                <w:b/>
                <w:color w:val="000000"/>
                <w:kern w:val="24"/>
                <w:sz w:val="22"/>
                <w:szCs w:val="22"/>
                <w:lang w:val="en-GB" w:eastAsia="en-GB"/>
              </w:rPr>
            </w:pPr>
            <w:r w:rsidRPr="00D311A9">
              <w:rPr>
                <w:rFonts w:ascii="Arial" w:eastAsia="MS PGothic" w:hAnsi="Arial" w:cs="Arial"/>
                <w:b/>
                <w:color w:val="000000"/>
                <w:kern w:val="24"/>
                <w:sz w:val="22"/>
                <w:szCs w:val="22"/>
                <w:lang w:val="en-GB" w:eastAsia="en-GB"/>
              </w:rPr>
              <w:t>Panel 2</w:t>
            </w:r>
          </w:p>
        </w:tc>
        <w:tc>
          <w:tcPr>
            <w:tcW w:w="709" w:type="dxa"/>
            <w:tcBorders>
              <w:top w:val="nil"/>
              <w:left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single" w:sz="4" w:space="0" w:color="000000"/>
              <w:left w:val="single" w:sz="4" w:space="0" w:color="000000"/>
              <w:bottom w:val="nil"/>
              <w:right w:val="single" w:sz="4" w:space="0" w:color="000000"/>
            </w:tcBorders>
            <w:shd w:val="clear" w:color="auto" w:fill="00B0F0"/>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W1</w:t>
            </w:r>
          </w:p>
        </w:tc>
        <w:tc>
          <w:tcPr>
            <w:tcW w:w="709" w:type="dxa"/>
            <w:tcBorders>
              <w:top w:val="nil"/>
              <w:left w:val="single" w:sz="4" w:space="0" w:color="000000"/>
              <w:bottom w:val="nil"/>
              <w:right w:val="single" w:sz="4" w:space="0" w:color="000000"/>
            </w:tcBorders>
            <w:shd w:val="clear" w:color="auto" w:fill="00B0F0"/>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W2</w:t>
            </w:r>
          </w:p>
        </w:tc>
        <w:tc>
          <w:tcPr>
            <w:tcW w:w="709" w:type="dxa"/>
            <w:tcBorders>
              <w:top w:val="nil"/>
              <w:left w:val="single" w:sz="4" w:space="0" w:color="000000"/>
              <w:bottom w:val="nil"/>
              <w:right w:val="single" w:sz="4" w:space="0" w:color="000000"/>
            </w:tcBorders>
            <w:shd w:val="clear" w:color="auto" w:fill="00B0F0"/>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W3</w:t>
            </w:r>
          </w:p>
        </w:tc>
        <w:tc>
          <w:tcPr>
            <w:tcW w:w="708" w:type="dxa"/>
            <w:tcBorders>
              <w:top w:val="nil"/>
              <w:left w:val="single" w:sz="4" w:space="0" w:color="000000"/>
              <w:bottom w:val="nil"/>
              <w:right w:val="single" w:sz="4" w:space="0" w:color="000000"/>
            </w:tcBorders>
            <w:shd w:val="clear" w:color="auto" w:fill="00B0F0"/>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W4</w:t>
            </w:r>
          </w:p>
        </w:tc>
        <w:tc>
          <w:tcPr>
            <w:tcW w:w="709" w:type="dxa"/>
            <w:tcBorders>
              <w:top w:val="nil"/>
              <w:left w:val="single" w:sz="4" w:space="0" w:color="000000"/>
              <w:bottom w:val="single" w:sz="4" w:space="0" w:color="000000"/>
              <w:right w:val="single" w:sz="4" w:space="0" w:color="000000"/>
            </w:tcBorders>
            <w:shd w:val="clear" w:color="auto" w:fill="00B0F0"/>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W5</w:t>
            </w:r>
          </w:p>
        </w:tc>
        <w:tc>
          <w:tcPr>
            <w:tcW w:w="567" w:type="dxa"/>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rPr>
                <w:rFonts w:ascii="Arial" w:hAnsi="Arial" w:cs="Arial"/>
                <w:sz w:val="36"/>
                <w:szCs w:val="36"/>
                <w:lang w:val="en-GB" w:eastAsia="en-GB"/>
              </w:rPr>
            </w:pPr>
          </w:p>
        </w:tc>
      </w:tr>
      <w:tr w:rsidR="00D311A9" w:rsidRPr="009C3635" w:rsidTr="00D311A9">
        <w:trPr>
          <w:trHeight w:val="567"/>
        </w:trPr>
        <w:tc>
          <w:tcPr>
            <w:tcW w:w="866" w:type="dxa"/>
            <w:tcBorders>
              <w:top w:val="nil"/>
              <w:left w:val="nil"/>
            </w:tcBorders>
            <w:vAlign w:val="bottom"/>
          </w:tcPr>
          <w:p w:rsidR="00D311A9" w:rsidRPr="00D311A9" w:rsidRDefault="00D311A9" w:rsidP="00D311A9">
            <w:pPr>
              <w:textAlignment w:val="bottom"/>
              <w:rPr>
                <w:rFonts w:ascii="Arial" w:eastAsia="MS PGothic" w:hAnsi="Arial" w:cs="Arial"/>
                <w:b/>
                <w:color w:val="000000"/>
                <w:kern w:val="24"/>
                <w:sz w:val="22"/>
                <w:szCs w:val="22"/>
                <w:lang w:val="en-GB" w:eastAsia="en-GB"/>
              </w:rPr>
            </w:pPr>
            <w:r w:rsidRPr="00D311A9">
              <w:rPr>
                <w:rFonts w:ascii="Arial" w:eastAsia="MS PGothic" w:hAnsi="Arial" w:cs="Arial"/>
                <w:b/>
                <w:color w:val="000000"/>
                <w:kern w:val="24"/>
                <w:sz w:val="22"/>
                <w:szCs w:val="22"/>
                <w:lang w:val="en-GB" w:eastAsia="en-GB"/>
              </w:rPr>
              <w:t>Panel 3</w:t>
            </w:r>
          </w:p>
        </w:tc>
        <w:tc>
          <w:tcPr>
            <w:tcW w:w="709" w:type="dxa"/>
            <w:tcBorders>
              <w:top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8" w:type="dxa"/>
            <w:tcBorders>
              <w:top w:val="single" w:sz="4" w:space="0" w:color="000000"/>
              <w:left w:val="nil"/>
              <w:bottom w:val="nil"/>
              <w:right w:val="single" w:sz="4" w:space="0" w:color="000000"/>
            </w:tcBorders>
            <w:shd w:val="clear" w:color="auto" w:fill="FF5B5B"/>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W1</w:t>
            </w:r>
          </w:p>
        </w:tc>
        <w:tc>
          <w:tcPr>
            <w:tcW w:w="709" w:type="dxa"/>
            <w:tcBorders>
              <w:top w:val="nil"/>
              <w:left w:val="single" w:sz="4" w:space="0" w:color="000000"/>
              <w:bottom w:val="nil"/>
              <w:right w:val="single" w:sz="4" w:space="0" w:color="000000"/>
            </w:tcBorders>
            <w:shd w:val="clear" w:color="auto" w:fill="FF5B5B"/>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W2</w:t>
            </w:r>
          </w:p>
        </w:tc>
        <w:tc>
          <w:tcPr>
            <w:tcW w:w="709" w:type="dxa"/>
            <w:tcBorders>
              <w:top w:val="nil"/>
              <w:left w:val="single" w:sz="4" w:space="0" w:color="000000"/>
              <w:bottom w:val="nil"/>
              <w:right w:val="single" w:sz="4" w:space="0" w:color="000000"/>
            </w:tcBorders>
            <w:shd w:val="clear" w:color="auto" w:fill="FF5B5B"/>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W3</w:t>
            </w:r>
          </w:p>
        </w:tc>
        <w:tc>
          <w:tcPr>
            <w:tcW w:w="709" w:type="dxa"/>
            <w:tcBorders>
              <w:top w:val="nil"/>
              <w:left w:val="single" w:sz="4" w:space="0" w:color="000000"/>
              <w:bottom w:val="nil"/>
              <w:right w:val="single" w:sz="4" w:space="0" w:color="000000"/>
            </w:tcBorders>
            <w:shd w:val="clear" w:color="auto" w:fill="FF5B5B"/>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W4</w:t>
            </w:r>
          </w:p>
        </w:tc>
        <w:tc>
          <w:tcPr>
            <w:tcW w:w="708" w:type="dxa"/>
            <w:tcBorders>
              <w:top w:val="nil"/>
              <w:left w:val="single" w:sz="4" w:space="0" w:color="000000"/>
              <w:bottom w:val="single" w:sz="4" w:space="0" w:color="000000"/>
              <w:right w:val="single" w:sz="4" w:space="0" w:color="000000"/>
            </w:tcBorders>
            <w:shd w:val="clear" w:color="auto" w:fill="FF5B5B"/>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W5</w:t>
            </w:r>
          </w:p>
        </w:tc>
        <w:tc>
          <w:tcPr>
            <w:tcW w:w="709" w:type="dxa"/>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567"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r>
      <w:tr w:rsidR="00D311A9" w:rsidRPr="009C3635" w:rsidTr="00D311A9">
        <w:trPr>
          <w:trHeight w:val="567"/>
        </w:trPr>
        <w:tc>
          <w:tcPr>
            <w:tcW w:w="866" w:type="dxa"/>
            <w:tcBorders>
              <w:bottom w:val="nil"/>
            </w:tcBorders>
            <w:shd w:val="clear" w:color="auto" w:fill="auto"/>
            <w:vAlign w:val="bottom"/>
          </w:tcPr>
          <w:p w:rsidR="00D311A9" w:rsidRPr="00D311A9" w:rsidRDefault="00D311A9" w:rsidP="00D311A9">
            <w:pPr>
              <w:textAlignment w:val="bottom"/>
              <w:rPr>
                <w:rFonts w:ascii="Arial" w:eastAsia="MS PGothic" w:hAnsi="Arial" w:cs="Arial"/>
                <w:b/>
                <w:color w:val="000000"/>
                <w:kern w:val="24"/>
                <w:sz w:val="22"/>
                <w:szCs w:val="22"/>
                <w:lang w:val="en-GB" w:eastAsia="en-GB"/>
              </w:rPr>
            </w:pPr>
            <w:r w:rsidRPr="00D311A9">
              <w:rPr>
                <w:rFonts w:ascii="Arial" w:eastAsia="MS PGothic" w:hAnsi="Arial" w:cs="Arial"/>
                <w:b/>
                <w:color w:val="000000"/>
                <w:kern w:val="24"/>
                <w:sz w:val="22"/>
                <w:szCs w:val="22"/>
                <w:lang w:val="en-GB" w:eastAsia="en-GB"/>
              </w:rPr>
              <w:t>Panel 4</w:t>
            </w:r>
          </w:p>
        </w:tc>
        <w:tc>
          <w:tcPr>
            <w:tcW w:w="709" w:type="dxa"/>
            <w:tcBorders>
              <w:left w:val="nil"/>
              <w:bottom w:val="nil"/>
              <w:right w:val="single" w:sz="4" w:space="0" w:color="000000"/>
            </w:tcBorders>
            <w:shd w:val="clear" w:color="auto" w:fill="BD92DE"/>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W1</w:t>
            </w:r>
          </w:p>
        </w:tc>
        <w:tc>
          <w:tcPr>
            <w:tcW w:w="708" w:type="dxa"/>
            <w:tcBorders>
              <w:top w:val="nil"/>
              <w:left w:val="single" w:sz="4" w:space="0" w:color="000000"/>
              <w:bottom w:val="nil"/>
              <w:right w:val="single" w:sz="4" w:space="0" w:color="000000"/>
            </w:tcBorders>
            <w:shd w:val="clear" w:color="auto" w:fill="BD92DE"/>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W2</w:t>
            </w:r>
          </w:p>
        </w:tc>
        <w:tc>
          <w:tcPr>
            <w:tcW w:w="709" w:type="dxa"/>
            <w:tcBorders>
              <w:top w:val="nil"/>
              <w:left w:val="single" w:sz="4" w:space="0" w:color="000000"/>
              <w:bottom w:val="nil"/>
              <w:right w:val="single" w:sz="4" w:space="0" w:color="000000"/>
            </w:tcBorders>
            <w:shd w:val="clear" w:color="auto" w:fill="BD92DE"/>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W3</w:t>
            </w:r>
          </w:p>
        </w:tc>
        <w:tc>
          <w:tcPr>
            <w:tcW w:w="709" w:type="dxa"/>
            <w:tcBorders>
              <w:top w:val="nil"/>
              <w:left w:val="single" w:sz="4" w:space="0" w:color="000000"/>
              <w:bottom w:val="nil"/>
              <w:right w:val="single" w:sz="4" w:space="0" w:color="000000"/>
            </w:tcBorders>
            <w:shd w:val="clear" w:color="auto" w:fill="BD92DE"/>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W4</w:t>
            </w:r>
          </w:p>
        </w:tc>
        <w:tc>
          <w:tcPr>
            <w:tcW w:w="709" w:type="dxa"/>
            <w:tcBorders>
              <w:top w:val="nil"/>
              <w:left w:val="single" w:sz="4" w:space="0" w:color="000000"/>
              <w:bottom w:val="single" w:sz="4" w:space="0" w:color="000000"/>
              <w:right w:val="single" w:sz="4" w:space="0" w:color="000000"/>
            </w:tcBorders>
            <w:shd w:val="clear" w:color="auto" w:fill="BD92DE"/>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W5</w:t>
            </w:r>
          </w:p>
        </w:tc>
        <w:tc>
          <w:tcPr>
            <w:tcW w:w="708" w:type="dxa"/>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rPr>
                <w:rFonts w:ascii="Arial" w:hAnsi="Arial" w:cs="Arial"/>
                <w:sz w:val="36"/>
                <w:szCs w:val="36"/>
                <w:lang w:val="en-GB" w:eastAsia="en-GB"/>
              </w:rPr>
            </w:pP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567"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r>
      <w:tr w:rsidR="00D311A9" w:rsidRPr="009C3635" w:rsidTr="00D311A9">
        <w:trPr>
          <w:trHeight w:val="454"/>
        </w:trPr>
        <w:tc>
          <w:tcPr>
            <w:tcW w:w="866" w:type="dxa"/>
            <w:tcBorders>
              <w:top w:val="nil"/>
              <w:bottom w:val="nil"/>
            </w:tcBorders>
          </w:tcPr>
          <w:p w:rsidR="00D311A9" w:rsidRPr="009C3635" w:rsidRDefault="00D311A9" w:rsidP="009C3635">
            <w:pPr>
              <w:textAlignment w:val="bottom"/>
              <w:rPr>
                <w:rFonts w:ascii="Arial" w:eastAsia="MS PGothic" w:hAnsi="Arial" w:cs="Arial"/>
                <w:color w:val="000000"/>
                <w:kern w:val="24"/>
                <w:sz w:val="22"/>
                <w:szCs w:val="22"/>
                <w:lang w:val="en-GB" w:eastAsia="en-GB"/>
              </w:rPr>
            </w:pPr>
          </w:p>
        </w:tc>
        <w:tc>
          <w:tcPr>
            <w:tcW w:w="709"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W2</w:t>
            </w:r>
          </w:p>
        </w:tc>
        <w:tc>
          <w:tcPr>
            <w:tcW w:w="708"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W3</w:t>
            </w:r>
          </w:p>
        </w:tc>
        <w:tc>
          <w:tcPr>
            <w:tcW w:w="709"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W4</w:t>
            </w:r>
          </w:p>
        </w:tc>
        <w:tc>
          <w:tcPr>
            <w:tcW w:w="7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W5</w:t>
            </w:r>
          </w:p>
        </w:tc>
        <w:tc>
          <w:tcPr>
            <w:tcW w:w="709" w:type="dxa"/>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567"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r>
      <w:tr w:rsidR="00D311A9" w:rsidRPr="009C3635" w:rsidTr="00D311A9">
        <w:trPr>
          <w:trHeight w:val="567"/>
        </w:trPr>
        <w:tc>
          <w:tcPr>
            <w:tcW w:w="866" w:type="dxa"/>
            <w:tcBorders>
              <w:top w:val="nil"/>
              <w:bottom w:val="nil"/>
            </w:tcBorders>
          </w:tcPr>
          <w:p w:rsidR="00D311A9" w:rsidRPr="009C3635" w:rsidRDefault="00D311A9" w:rsidP="009C3635">
            <w:pPr>
              <w:textAlignment w:val="bottom"/>
              <w:rPr>
                <w:rFonts w:ascii="Arial" w:eastAsia="MS PGothic" w:hAnsi="Arial" w:cs="Arial"/>
                <w:color w:val="000000"/>
                <w:kern w:val="24"/>
                <w:sz w:val="22"/>
                <w:szCs w:val="22"/>
                <w:lang w:val="en-GB" w:eastAsia="en-GB"/>
              </w:rPr>
            </w:pPr>
          </w:p>
        </w:tc>
        <w:tc>
          <w:tcPr>
            <w:tcW w:w="709"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W3</w:t>
            </w:r>
          </w:p>
        </w:tc>
        <w:tc>
          <w:tcPr>
            <w:tcW w:w="708"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W4</w:t>
            </w:r>
          </w:p>
        </w:tc>
        <w:tc>
          <w:tcPr>
            <w:tcW w:w="7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W5</w:t>
            </w:r>
          </w:p>
        </w:tc>
        <w:tc>
          <w:tcPr>
            <w:tcW w:w="709" w:type="dxa"/>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567"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r>
      <w:tr w:rsidR="00D311A9" w:rsidRPr="009C3635" w:rsidTr="00D311A9">
        <w:trPr>
          <w:trHeight w:val="567"/>
        </w:trPr>
        <w:tc>
          <w:tcPr>
            <w:tcW w:w="866" w:type="dxa"/>
            <w:tcBorders>
              <w:top w:val="nil"/>
              <w:bottom w:val="nil"/>
            </w:tcBorders>
          </w:tcPr>
          <w:p w:rsidR="00D311A9" w:rsidRPr="009C3635" w:rsidRDefault="00D311A9" w:rsidP="009C3635">
            <w:pPr>
              <w:textAlignment w:val="bottom"/>
              <w:rPr>
                <w:rFonts w:ascii="Arial" w:eastAsia="MS PGothic" w:hAnsi="Arial" w:cs="Arial"/>
                <w:color w:val="000000"/>
                <w:kern w:val="24"/>
                <w:sz w:val="22"/>
                <w:szCs w:val="22"/>
                <w:lang w:val="en-GB" w:eastAsia="en-GB"/>
              </w:rPr>
            </w:pPr>
          </w:p>
        </w:tc>
        <w:tc>
          <w:tcPr>
            <w:tcW w:w="709" w:type="dxa"/>
            <w:tcBorders>
              <w:top w:val="nil"/>
              <w:left w:val="nil"/>
              <w:bottom w:val="nil"/>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W4</w:t>
            </w:r>
          </w:p>
        </w:tc>
        <w:tc>
          <w:tcPr>
            <w:tcW w:w="70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W5</w:t>
            </w:r>
          </w:p>
        </w:tc>
        <w:tc>
          <w:tcPr>
            <w:tcW w:w="709" w:type="dxa"/>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567"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r>
      <w:tr w:rsidR="00D311A9" w:rsidRPr="009C3635" w:rsidTr="00D311A9">
        <w:trPr>
          <w:trHeight w:val="454"/>
        </w:trPr>
        <w:tc>
          <w:tcPr>
            <w:tcW w:w="866" w:type="dxa"/>
            <w:tcBorders>
              <w:top w:val="nil"/>
            </w:tcBorders>
          </w:tcPr>
          <w:p w:rsidR="00D311A9" w:rsidRPr="009C3635" w:rsidRDefault="00D311A9" w:rsidP="009C3635">
            <w:pPr>
              <w:textAlignment w:val="bottom"/>
              <w:rPr>
                <w:rFonts w:ascii="Arial" w:eastAsia="MS PGothic" w:hAnsi="Arial" w:cs="Arial"/>
                <w:color w:val="000000"/>
                <w:kern w:val="24"/>
                <w:sz w:val="22"/>
                <w:szCs w:val="22"/>
                <w:lang w:val="en-GB" w:eastAsia="en-GB"/>
              </w:rPr>
            </w:pP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W5</w:t>
            </w:r>
          </w:p>
        </w:tc>
        <w:tc>
          <w:tcPr>
            <w:tcW w:w="708" w:type="dxa"/>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709"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c>
          <w:tcPr>
            <w:tcW w:w="567" w:type="dxa"/>
            <w:tcBorders>
              <w:top w:val="nil"/>
              <w:left w:val="nil"/>
              <w:bottom w:val="nil"/>
              <w:right w:val="nil"/>
            </w:tcBorders>
            <w:shd w:val="clear" w:color="auto" w:fill="auto"/>
            <w:tcMar>
              <w:top w:w="15" w:type="dxa"/>
              <w:left w:w="15" w:type="dxa"/>
              <w:bottom w:w="0" w:type="dxa"/>
              <w:right w:w="15" w:type="dxa"/>
            </w:tcMar>
            <w:vAlign w:val="bottom"/>
            <w:hideMark/>
          </w:tcPr>
          <w:p w:rsidR="00D311A9" w:rsidRPr="009C3635" w:rsidRDefault="00D311A9" w:rsidP="009C3635">
            <w:pPr>
              <w:textAlignment w:val="bottom"/>
              <w:rPr>
                <w:rFonts w:ascii="Arial" w:hAnsi="Arial" w:cs="Arial"/>
                <w:sz w:val="36"/>
                <w:szCs w:val="36"/>
                <w:lang w:val="en-GB" w:eastAsia="en-GB"/>
              </w:rPr>
            </w:pPr>
            <w:r w:rsidRPr="009C3635">
              <w:rPr>
                <w:rFonts w:ascii="Arial" w:eastAsia="MS PGothic" w:hAnsi="Arial" w:cs="Arial"/>
                <w:color w:val="000000"/>
                <w:kern w:val="24"/>
                <w:sz w:val="22"/>
                <w:szCs w:val="22"/>
                <w:lang w:val="en-GB" w:eastAsia="en-GB"/>
              </w:rPr>
              <w:t> </w:t>
            </w:r>
          </w:p>
        </w:tc>
      </w:tr>
    </w:tbl>
    <w:p w:rsidR="009C3635" w:rsidRPr="00C23691" w:rsidRDefault="009C3635" w:rsidP="00C23691">
      <w:pPr>
        <w:rPr>
          <w:rFonts w:ascii="Arial" w:hAnsi="Arial" w:cs="Arial"/>
          <w:sz w:val="22"/>
          <w:szCs w:val="22"/>
        </w:rPr>
      </w:pPr>
    </w:p>
    <w:p w:rsidR="00B133BB" w:rsidRDefault="003F2654" w:rsidP="001324B7">
      <w:pPr>
        <w:rPr>
          <w:rFonts w:ascii="Arial" w:hAnsi="Arial" w:cs="Arial"/>
          <w:sz w:val="22"/>
          <w:szCs w:val="22"/>
        </w:rPr>
      </w:pPr>
      <w:r>
        <w:rPr>
          <w:rFonts w:ascii="Arial" w:hAnsi="Arial" w:cs="Arial"/>
          <w:sz w:val="22"/>
          <w:szCs w:val="22"/>
        </w:rPr>
        <w:t>Figure 1 a rotating panel design. The columns represent quarters and the rows represent panels.</w:t>
      </w:r>
      <w:r w:rsidR="00D311A9">
        <w:rPr>
          <w:rFonts w:ascii="Arial" w:hAnsi="Arial" w:cs="Arial"/>
          <w:sz w:val="22"/>
          <w:szCs w:val="22"/>
        </w:rPr>
        <w:t xml:space="preserve"> </w:t>
      </w:r>
      <w:r w:rsidR="00374886">
        <w:rPr>
          <w:rFonts w:ascii="Arial" w:hAnsi="Arial" w:cs="Arial"/>
          <w:sz w:val="22"/>
          <w:szCs w:val="22"/>
        </w:rPr>
        <w:t>A panel is sampled for five consecutive quarters each time increasing in wave number from wave 1 to wave 5.</w:t>
      </w:r>
      <w:r w:rsidR="00553516">
        <w:rPr>
          <w:rFonts w:ascii="Arial" w:hAnsi="Arial" w:cs="Arial"/>
          <w:sz w:val="22"/>
          <w:szCs w:val="22"/>
        </w:rPr>
        <w:t xml:space="preserve"> Panels that have been sampled for 5 quarters have been shaded in colours. </w:t>
      </w:r>
      <w:r w:rsidR="00374886">
        <w:rPr>
          <w:rFonts w:ascii="Arial" w:hAnsi="Arial" w:cs="Arial"/>
          <w:sz w:val="22"/>
          <w:szCs w:val="22"/>
        </w:rPr>
        <w:t xml:space="preserve">In each quarter there are five different panels present, each in different waves. Each quarter has a new panel represented by wave 1 and loses a panel represented by wave 5 in the previous quarter. </w:t>
      </w:r>
    </w:p>
    <w:p w:rsidR="00374886" w:rsidRDefault="00374886" w:rsidP="001324B7">
      <w:pPr>
        <w:rPr>
          <w:rFonts w:ascii="Arial" w:hAnsi="Arial" w:cs="Arial"/>
          <w:sz w:val="22"/>
          <w:szCs w:val="22"/>
        </w:rPr>
      </w:pPr>
    </w:p>
    <w:p w:rsidR="000F5511" w:rsidRDefault="00374886" w:rsidP="001324B7">
      <w:pPr>
        <w:rPr>
          <w:rFonts w:ascii="Arial" w:hAnsi="Arial" w:cs="Arial"/>
          <w:sz w:val="22"/>
          <w:szCs w:val="22"/>
        </w:rPr>
      </w:pPr>
      <w:r>
        <w:rPr>
          <w:rFonts w:ascii="Arial" w:hAnsi="Arial" w:cs="Arial"/>
          <w:sz w:val="22"/>
          <w:szCs w:val="22"/>
        </w:rPr>
        <w:t xml:space="preserve">Consecutive quarters have parts of the sample that are common. If only wave 5 from each quarter was to </w:t>
      </w:r>
      <w:r w:rsidR="000F5511">
        <w:rPr>
          <w:rFonts w:ascii="Arial" w:hAnsi="Arial" w:cs="Arial"/>
          <w:sz w:val="22"/>
          <w:szCs w:val="22"/>
        </w:rPr>
        <w:t>be considered there would be sample</w:t>
      </w:r>
      <w:r w:rsidR="00553516">
        <w:rPr>
          <w:rFonts w:ascii="Arial" w:hAnsi="Arial" w:cs="Arial"/>
          <w:sz w:val="22"/>
          <w:szCs w:val="22"/>
        </w:rPr>
        <w:t xml:space="preserve"> no</w:t>
      </w:r>
      <w:r w:rsidR="000F5511">
        <w:rPr>
          <w:rFonts w:ascii="Arial" w:hAnsi="Arial" w:cs="Arial"/>
          <w:sz w:val="22"/>
          <w:szCs w:val="22"/>
        </w:rPr>
        <w:t xml:space="preserve"> members that are common between quarters as they are all from different panels. Wave 5 cases are used to create a wave 6 dataset that can be used as a sampling frame for follow-up surveys.</w:t>
      </w:r>
    </w:p>
    <w:p w:rsidR="00E555AE" w:rsidRDefault="00E555AE" w:rsidP="00E555AE">
      <w:pPr>
        <w:rPr>
          <w:rFonts w:ascii="Arial" w:hAnsi="Arial" w:cs="Arial"/>
          <w:b/>
          <w:sz w:val="22"/>
          <w:szCs w:val="22"/>
        </w:rPr>
      </w:pPr>
    </w:p>
    <w:p w:rsidR="00E555AE" w:rsidRDefault="001267C1" w:rsidP="00E555AE">
      <w:pPr>
        <w:rPr>
          <w:rFonts w:ascii="Arial" w:hAnsi="Arial" w:cs="Arial"/>
          <w:sz w:val="22"/>
          <w:szCs w:val="22"/>
        </w:rPr>
      </w:pPr>
      <w:r>
        <w:rPr>
          <w:rFonts w:ascii="Arial" w:hAnsi="Arial" w:cs="Arial"/>
          <w:sz w:val="22"/>
          <w:szCs w:val="22"/>
        </w:rPr>
        <w:t>Four quarters</w:t>
      </w:r>
      <w:r w:rsidR="00553516">
        <w:rPr>
          <w:rFonts w:ascii="Arial" w:hAnsi="Arial" w:cs="Arial"/>
          <w:sz w:val="22"/>
          <w:szCs w:val="22"/>
        </w:rPr>
        <w:t xml:space="preserve"> (January-December)</w:t>
      </w:r>
      <w:r>
        <w:rPr>
          <w:rFonts w:ascii="Arial" w:hAnsi="Arial" w:cs="Arial"/>
          <w:sz w:val="22"/>
          <w:szCs w:val="22"/>
        </w:rPr>
        <w:t xml:space="preserve"> of waves 1 and 5 of the LFS along with some additional boost cases form the </w:t>
      </w:r>
      <w:r w:rsidR="00E555AE">
        <w:rPr>
          <w:rFonts w:ascii="Arial" w:hAnsi="Arial" w:cs="Arial"/>
          <w:sz w:val="22"/>
          <w:szCs w:val="22"/>
        </w:rPr>
        <w:t>Annual Popu</w:t>
      </w:r>
      <w:r>
        <w:rPr>
          <w:rFonts w:ascii="Arial" w:hAnsi="Arial" w:cs="Arial"/>
          <w:sz w:val="22"/>
          <w:szCs w:val="22"/>
        </w:rPr>
        <w:t xml:space="preserve">lation Survey (APS). This </w:t>
      </w:r>
      <w:r w:rsidR="00E555AE">
        <w:rPr>
          <w:rFonts w:ascii="Arial" w:hAnsi="Arial" w:cs="Arial"/>
          <w:sz w:val="22"/>
          <w:szCs w:val="22"/>
        </w:rPr>
        <w:t xml:space="preserve">is an annual dataset </w:t>
      </w:r>
      <w:r>
        <w:rPr>
          <w:rFonts w:ascii="Arial" w:hAnsi="Arial" w:cs="Arial"/>
          <w:sz w:val="22"/>
          <w:szCs w:val="22"/>
        </w:rPr>
        <w:t xml:space="preserve">allowing </w:t>
      </w:r>
      <w:r w:rsidR="00E555AE">
        <w:rPr>
          <w:rFonts w:ascii="Arial" w:hAnsi="Arial" w:cs="Arial"/>
          <w:sz w:val="22"/>
          <w:szCs w:val="22"/>
        </w:rPr>
        <w:t xml:space="preserve">for annual estimates, such as the total number of people who are self-employed, to be calculated. </w:t>
      </w:r>
    </w:p>
    <w:p w:rsidR="000F5511" w:rsidRDefault="000F5511" w:rsidP="001324B7">
      <w:pPr>
        <w:rPr>
          <w:rFonts w:ascii="Arial" w:hAnsi="Arial" w:cs="Arial"/>
          <w:sz w:val="22"/>
          <w:szCs w:val="22"/>
        </w:rPr>
      </w:pPr>
    </w:p>
    <w:p w:rsidR="000F5511" w:rsidRDefault="000F5511" w:rsidP="000F5511">
      <w:pPr>
        <w:pStyle w:val="ListParagraph"/>
        <w:numPr>
          <w:ilvl w:val="1"/>
          <w:numId w:val="1"/>
        </w:numPr>
        <w:rPr>
          <w:rFonts w:ascii="Arial" w:hAnsi="Arial" w:cs="Arial"/>
          <w:b/>
          <w:sz w:val="22"/>
          <w:szCs w:val="22"/>
        </w:rPr>
      </w:pPr>
      <w:r>
        <w:rPr>
          <w:rFonts w:ascii="Arial" w:hAnsi="Arial" w:cs="Arial"/>
          <w:b/>
          <w:sz w:val="22"/>
          <w:szCs w:val="22"/>
        </w:rPr>
        <w:t>Wave 6 follow-up</w:t>
      </w:r>
    </w:p>
    <w:p w:rsidR="000F5511" w:rsidRDefault="000F5511" w:rsidP="000F5511">
      <w:pPr>
        <w:rPr>
          <w:rFonts w:ascii="Arial" w:hAnsi="Arial" w:cs="Arial"/>
          <w:b/>
          <w:sz w:val="22"/>
          <w:szCs w:val="22"/>
        </w:rPr>
      </w:pPr>
    </w:p>
    <w:p w:rsidR="000F5511" w:rsidRDefault="000F5511" w:rsidP="000F5511">
      <w:pPr>
        <w:rPr>
          <w:rFonts w:ascii="Arial" w:hAnsi="Arial" w:cs="Arial"/>
          <w:sz w:val="22"/>
          <w:szCs w:val="22"/>
        </w:rPr>
      </w:pPr>
      <w:r>
        <w:rPr>
          <w:rFonts w:ascii="Arial" w:hAnsi="Arial" w:cs="Arial"/>
          <w:sz w:val="22"/>
          <w:szCs w:val="22"/>
        </w:rPr>
        <w:t xml:space="preserve">At the end of the final wave (wave 5) of the LFS those who have responded are asked for consent to being re-contacted. Those who have personally consented to re-contact </w:t>
      </w:r>
      <w:r w:rsidR="00D311A9">
        <w:rPr>
          <w:rFonts w:ascii="Arial" w:hAnsi="Arial" w:cs="Arial"/>
          <w:sz w:val="22"/>
          <w:szCs w:val="22"/>
        </w:rPr>
        <w:t xml:space="preserve">are said to </w:t>
      </w:r>
      <w:r>
        <w:rPr>
          <w:rFonts w:ascii="Arial" w:hAnsi="Arial" w:cs="Arial"/>
          <w:sz w:val="22"/>
          <w:szCs w:val="22"/>
        </w:rPr>
        <w:t xml:space="preserve">have given non-proxy consent. If an individual has not responded but another individual in the household did respond and provide consent to re-contact, the individual </w:t>
      </w:r>
      <w:r w:rsidR="00D311A9">
        <w:rPr>
          <w:rFonts w:ascii="Arial" w:hAnsi="Arial" w:cs="Arial"/>
          <w:sz w:val="22"/>
          <w:szCs w:val="22"/>
        </w:rPr>
        <w:t>is said to have</w:t>
      </w:r>
      <w:r>
        <w:rPr>
          <w:rFonts w:ascii="Arial" w:hAnsi="Arial" w:cs="Arial"/>
          <w:sz w:val="22"/>
          <w:szCs w:val="22"/>
        </w:rPr>
        <w:t xml:space="preserve"> given proxy consent. Individuals with proxy or non-proxy consent </w:t>
      </w:r>
      <w:r w:rsidR="00267931">
        <w:rPr>
          <w:rFonts w:ascii="Arial" w:hAnsi="Arial" w:cs="Arial"/>
          <w:sz w:val="22"/>
          <w:szCs w:val="22"/>
        </w:rPr>
        <w:t>can be included in wave 6 follow-up surveys.</w:t>
      </w:r>
    </w:p>
    <w:p w:rsidR="00267931" w:rsidRDefault="00267931" w:rsidP="000F5511">
      <w:pPr>
        <w:rPr>
          <w:rFonts w:ascii="Arial" w:hAnsi="Arial" w:cs="Arial"/>
          <w:sz w:val="22"/>
          <w:szCs w:val="22"/>
        </w:rPr>
      </w:pPr>
    </w:p>
    <w:p w:rsidR="00267931" w:rsidRDefault="00267931" w:rsidP="00267931">
      <w:pPr>
        <w:pStyle w:val="ListParagraph"/>
        <w:numPr>
          <w:ilvl w:val="1"/>
          <w:numId w:val="1"/>
        </w:numPr>
        <w:rPr>
          <w:rFonts w:ascii="Arial" w:hAnsi="Arial" w:cs="Arial"/>
          <w:b/>
          <w:sz w:val="22"/>
          <w:szCs w:val="22"/>
        </w:rPr>
      </w:pPr>
      <w:r>
        <w:rPr>
          <w:rFonts w:ascii="Arial" w:hAnsi="Arial" w:cs="Arial"/>
          <w:b/>
          <w:sz w:val="22"/>
          <w:szCs w:val="22"/>
        </w:rPr>
        <w:t>BIS Self-employed Sample Frame</w:t>
      </w:r>
    </w:p>
    <w:p w:rsidR="00267931" w:rsidRDefault="00267931" w:rsidP="00267931">
      <w:pPr>
        <w:rPr>
          <w:rFonts w:ascii="Arial" w:hAnsi="Arial" w:cs="Arial"/>
          <w:b/>
          <w:sz w:val="22"/>
          <w:szCs w:val="22"/>
        </w:rPr>
      </w:pPr>
    </w:p>
    <w:p w:rsidR="00267931" w:rsidRDefault="00267931" w:rsidP="00267931">
      <w:pPr>
        <w:rPr>
          <w:rFonts w:ascii="Arial" w:hAnsi="Arial" w:cs="Arial"/>
          <w:sz w:val="22"/>
          <w:szCs w:val="22"/>
        </w:rPr>
      </w:pPr>
      <w:r>
        <w:rPr>
          <w:rFonts w:ascii="Arial" w:hAnsi="Arial" w:cs="Arial"/>
          <w:sz w:val="22"/>
          <w:szCs w:val="22"/>
        </w:rPr>
        <w:lastRenderedPageBreak/>
        <w:t xml:space="preserve">The sample frame used for the BIS Self-employed survey consisted of those who consented to re-contact following wave 5 in the four quarters of 2014. This included those that provided non-proxy consent in </w:t>
      </w:r>
      <w:r w:rsidR="00D311A9">
        <w:rPr>
          <w:rFonts w:ascii="Arial" w:hAnsi="Arial" w:cs="Arial"/>
          <w:sz w:val="22"/>
          <w:szCs w:val="22"/>
        </w:rPr>
        <w:t>any</w:t>
      </w:r>
      <w:r>
        <w:rPr>
          <w:rFonts w:ascii="Arial" w:hAnsi="Arial" w:cs="Arial"/>
          <w:sz w:val="22"/>
          <w:szCs w:val="22"/>
        </w:rPr>
        <w:t xml:space="preserve"> of the quarters and those that provided proxy consent in</w:t>
      </w:r>
      <w:r w:rsidR="00D311A9">
        <w:rPr>
          <w:rFonts w:ascii="Arial" w:hAnsi="Arial" w:cs="Arial"/>
          <w:sz w:val="22"/>
          <w:szCs w:val="22"/>
        </w:rPr>
        <w:t xml:space="preserve"> either of</w:t>
      </w:r>
      <w:r>
        <w:rPr>
          <w:rFonts w:ascii="Arial" w:hAnsi="Arial" w:cs="Arial"/>
          <w:sz w:val="22"/>
          <w:szCs w:val="22"/>
        </w:rPr>
        <w:t xml:space="preserve"> the last two quarters. Those that provided proxy consent were included to ensure that the sample frame was large enough. </w:t>
      </w:r>
    </w:p>
    <w:p w:rsidR="006D19E4" w:rsidRDefault="006D19E4" w:rsidP="00267931">
      <w:pPr>
        <w:rPr>
          <w:rFonts w:ascii="Arial" w:hAnsi="Arial" w:cs="Arial"/>
          <w:sz w:val="22"/>
          <w:szCs w:val="22"/>
        </w:rPr>
      </w:pPr>
    </w:p>
    <w:p w:rsidR="007D1433" w:rsidRDefault="007D1433" w:rsidP="00267931">
      <w:pPr>
        <w:rPr>
          <w:rFonts w:ascii="Arial" w:hAnsi="Arial" w:cs="Arial"/>
          <w:sz w:val="22"/>
          <w:szCs w:val="22"/>
        </w:rPr>
      </w:pPr>
      <w:r>
        <w:rPr>
          <w:rFonts w:ascii="Arial" w:hAnsi="Arial" w:cs="Arial"/>
          <w:sz w:val="22"/>
          <w:szCs w:val="22"/>
        </w:rPr>
        <w:t>For the survey</w:t>
      </w:r>
      <w:r w:rsidR="00D311A9">
        <w:rPr>
          <w:rFonts w:ascii="Arial" w:hAnsi="Arial" w:cs="Arial"/>
          <w:sz w:val="22"/>
          <w:szCs w:val="22"/>
        </w:rPr>
        <w:t>,</w:t>
      </w:r>
      <w:r>
        <w:rPr>
          <w:rFonts w:ascii="Arial" w:hAnsi="Arial" w:cs="Arial"/>
          <w:sz w:val="22"/>
          <w:szCs w:val="22"/>
        </w:rPr>
        <w:t xml:space="preserve"> contact information was require</w:t>
      </w:r>
      <w:r w:rsidR="001267C1">
        <w:rPr>
          <w:rFonts w:ascii="Arial" w:hAnsi="Arial" w:cs="Arial"/>
          <w:sz w:val="22"/>
          <w:szCs w:val="22"/>
        </w:rPr>
        <w:t>d</w:t>
      </w:r>
      <w:r>
        <w:rPr>
          <w:rFonts w:ascii="Arial" w:hAnsi="Arial" w:cs="Arial"/>
          <w:sz w:val="22"/>
          <w:szCs w:val="22"/>
        </w:rPr>
        <w:t xml:space="preserve"> so records where this was unclear or missing were removed from the sampling frame. Any cases that had already been selected for another LFS follow-up survey such as the LFS dress rehearsal were also removed from the sample frame to reduce respondent burden.</w:t>
      </w:r>
    </w:p>
    <w:p w:rsidR="007D1433" w:rsidRDefault="007D1433" w:rsidP="00267931">
      <w:pPr>
        <w:rPr>
          <w:rFonts w:ascii="Arial" w:hAnsi="Arial" w:cs="Arial"/>
          <w:sz w:val="22"/>
          <w:szCs w:val="22"/>
        </w:rPr>
      </w:pPr>
    </w:p>
    <w:p w:rsidR="006D19E4" w:rsidRDefault="006D19E4" w:rsidP="00267931">
      <w:pPr>
        <w:rPr>
          <w:rFonts w:ascii="Arial" w:hAnsi="Arial" w:cs="Arial"/>
          <w:sz w:val="22"/>
          <w:szCs w:val="22"/>
        </w:rPr>
      </w:pPr>
      <w:r>
        <w:rPr>
          <w:rFonts w:ascii="Arial" w:hAnsi="Arial" w:cs="Arial"/>
          <w:sz w:val="22"/>
          <w:szCs w:val="22"/>
        </w:rPr>
        <w:t>As these individuals have previously answered the LFS</w:t>
      </w:r>
      <w:r w:rsidR="00D311A9">
        <w:rPr>
          <w:rFonts w:ascii="Arial" w:hAnsi="Arial" w:cs="Arial"/>
          <w:sz w:val="22"/>
          <w:szCs w:val="22"/>
        </w:rPr>
        <w:t>,</w:t>
      </w:r>
      <w:r>
        <w:rPr>
          <w:rFonts w:ascii="Arial" w:hAnsi="Arial" w:cs="Arial"/>
          <w:sz w:val="22"/>
          <w:szCs w:val="22"/>
        </w:rPr>
        <w:t xml:space="preserve"> their employment status is known. </w:t>
      </w:r>
      <w:r w:rsidR="007D1433">
        <w:rPr>
          <w:rFonts w:ascii="Arial" w:hAnsi="Arial" w:cs="Arial"/>
          <w:sz w:val="22"/>
          <w:szCs w:val="22"/>
        </w:rPr>
        <w:t>For the sample frame only those who identified as being self-emp</w:t>
      </w:r>
      <w:r w:rsidR="001E17E0">
        <w:rPr>
          <w:rFonts w:ascii="Arial" w:hAnsi="Arial" w:cs="Arial"/>
          <w:sz w:val="22"/>
          <w:szCs w:val="22"/>
        </w:rPr>
        <w:t>loyed were included. This allowed</w:t>
      </w:r>
      <w:r w:rsidR="007D1433">
        <w:rPr>
          <w:rFonts w:ascii="Arial" w:hAnsi="Arial" w:cs="Arial"/>
          <w:sz w:val="22"/>
          <w:szCs w:val="22"/>
        </w:rPr>
        <w:t xml:space="preserve"> us to target the sample to our population of interest creating an efficient sample of self-employed individuals to be selected.</w:t>
      </w:r>
    </w:p>
    <w:p w:rsidR="00BD47D3" w:rsidRDefault="00BD47D3" w:rsidP="00267931">
      <w:pPr>
        <w:rPr>
          <w:rFonts w:ascii="Arial" w:hAnsi="Arial" w:cs="Arial"/>
          <w:sz w:val="22"/>
          <w:szCs w:val="22"/>
        </w:rPr>
      </w:pPr>
    </w:p>
    <w:p w:rsidR="00BD47D3" w:rsidRDefault="00BD47D3" w:rsidP="00BD47D3">
      <w:pPr>
        <w:pStyle w:val="ListParagraph"/>
        <w:numPr>
          <w:ilvl w:val="1"/>
          <w:numId w:val="1"/>
        </w:numPr>
        <w:rPr>
          <w:rFonts w:ascii="Arial" w:hAnsi="Arial" w:cs="Arial"/>
          <w:b/>
          <w:sz w:val="22"/>
          <w:szCs w:val="22"/>
        </w:rPr>
      </w:pPr>
      <w:r>
        <w:rPr>
          <w:rFonts w:ascii="Arial" w:hAnsi="Arial" w:cs="Arial"/>
          <w:b/>
          <w:sz w:val="22"/>
          <w:szCs w:val="22"/>
        </w:rPr>
        <w:t>Sample Selection</w:t>
      </w:r>
    </w:p>
    <w:p w:rsidR="00BD47D3" w:rsidRDefault="00BD47D3" w:rsidP="00BD47D3">
      <w:pPr>
        <w:rPr>
          <w:rFonts w:ascii="Arial" w:hAnsi="Arial" w:cs="Arial"/>
          <w:b/>
          <w:sz w:val="22"/>
          <w:szCs w:val="22"/>
        </w:rPr>
      </w:pPr>
    </w:p>
    <w:p w:rsidR="00BD47D3" w:rsidRDefault="00BD47D3" w:rsidP="00BD47D3">
      <w:pPr>
        <w:rPr>
          <w:rFonts w:ascii="Arial" w:hAnsi="Arial" w:cs="Arial"/>
          <w:sz w:val="22"/>
          <w:szCs w:val="22"/>
        </w:rPr>
      </w:pPr>
      <w:r>
        <w:rPr>
          <w:rFonts w:ascii="Arial" w:hAnsi="Arial" w:cs="Arial"/>
          <w:sz w:val="22"/>
          <w:szCs w:val="22"/>
        </w:rPr>
        <w:t>The sample was selected using the sample frame described in Section 3.3. From this</w:t>
      </w:r>
      <w:r w:rsidR="00D311A9">
        <w:rPr>
          <w:rFonts w:ascii="Arial" w:hAnsi="Arial" w:cs="Arial"/>
          <w:sz w:val="22"/>
          <w:szCs w:val="22"/>
        </w:rPr>
        <w:t xml:space="preserve"> frame</w:t>
      </w:r>
      <w:r>
        <w:rPr>
          <w:rFonts w:ascii="Arial" w:hAnsi="Arial" w:cs="Arial"/>
          <w:sz w:val="22"/>
          <w:szCs w:val="22"/>
        </w:rPr>
        <w:t xml:space="preserve"> all households were selected. If there was more than one individual identifying as being self-employed in a household </w:t>
      </w:r>
      <w:r w:rsidR="001E17E0">
        <w:rPr>
          <w:rFonts w:ascii="Arial" w:hAnsi="Arial" w:cs="Arial"/>
          <w:sz w:val="22"/>
          <w:szCs w:val="22"/>
        </w:rPr>
        <w:t>the intention was that</w:t>
      </w:r>
      <w:r>
        <w:rPr>
          <w:rFonts w:ascii="Arial" w:hAnsi="Arial" w:cs="Arial"/>
          <w:sz w:val="22"/>
          <w:szCs w:val="22"/>
        </w:rPr>
        <w:t xml:space="preserve"> one individual was </w:t>
      </w:r>
      <w:r w:rsidR="00125121">
        <w:rPr>
          <w:rFonts w:ascii="Arial" w:hAnsi="Arial" w:cs="Arial"/>
          <w:sz w:val="22"/>
          <w:szCs w:val="22"/>
        </w:rPr>
        <w:t xml:space="preserve">randomly </w:t>
      </w:r>
      <w:r>
        <w:rPr>
          <w:rFonts w:ascii="Arial" w:hAnsi="Arial" w:cs="Arial"/>
          <w:sz w:val="22"/>
          <w:szCs w:val="22"/>
        </w:rPr>
        <w:t xml:space="preserve">selected. This was because </w:t>
      </w:r>
      <w:r w:rsidR="001267C1">
        <w:rPr>
          <w:rFonts w:ascii="Arial" w:hAnsi="Arial" w:cs="Arial"/>
          <w:sz w:val="22"/>
          <w:szCs w:val="22"/>
        </w:rPr>
        <w:t xml:space="preserve">it was thought that </w:t>
      </w:r>
      <w:r>
        <w:rPr>
          <w:rFonts w:ascii="Arial" w:hAnsi="Arial" w:cs="Arial"/>
          <w:sz w:val="22"/>
          <w:szCs w:val="22"/>
        </w:rPr>
        <w:t>they were likely to have similar characteristics.</w:t>
      </w:r>
      <w:r w:rsidR="001E17E0">
        <w:rPr>
          <w:rFonts w:ascii="Arial" w:hAnsi="Arial" w:cs="Arial"/>
          <w:sz w:val="22"/>
          <w:szCs w:val="22"/>
        </w:rPr>
        <w:t xml:space="preserve"> However, </w:t>
      </w:r>
      <w:r w:rsidR="00D311A9">
        <w:rPr>
          <w:rFonts w:ascii="Arial" w:hAnsi="Arial" w:cs="Arial"/>
          <w:sz w:val="22"/>
          <w:szCs w:val="22"/>
        </w:rPr>
        <w:t xml:space="preserve">in some cases more than one adult was selected and interviewed. </w:t>
      </w:r>
      <w:r>
        <w:rPr>
          <w:rFonts w:ascii="Arial" w:hAnsi="Arial" w:cs="Arial"/>
          <w:sz w:val="22"/>
          <w:szCs w:val="22"/>
        </w:rPr>
        <w:t>This was accounted for in the calculation of the design weights.</w:t>
      </w:r>
    </w:p>
    <w:p w:rsidR="00BD47D3" w:rsidRDefault="00BD47D3" w:rsidP="00BD47D3">
      <w:pPr>
        <w:rPr>
          <w:rFonts w:ascii="Arial" w:hAnsi="Arial" w:cs="Arial"/>
          <w:sz w:val="22"/>
          <w:szCs w:val="22"/>
        </w:rPr>
      </w:pPr>
    </w:p>
    <w:p w:rsidR="00BD47D3" w:rsidRDefault="00BD47D3" w:rsidP="00BD47D3">
      <w:pPr>
        <w:rPr>
          <w:rFonts w:ascii="Arial" w:hAnsi="Arial" w:cs="Arial"/>
          <w:sz w:val="22"/>
          <w:szCs w:val="22"/>
        </w:rPr>
      </w:pPr>
      <w:r>
        <w:rPr>
          <w:rFonts w:ascii="Arial" w:hAnsi="Arial" w:cs="Arial"/>
          <w:sz w:val="22"/>
          <w:szCs w:val="22"/>
        </w:rPr>
        <w:t>A sample of 2</w:t>
      </w:r>
      <w:r w:rsidR="00671B4F">
        <w:rPr>
          <w:rFonts w:ascii="Arial" w:hAnsi="Arial" w:cs="Arial"/>
          <w:sz w:val="22"/>
          <w:szCs w:val="22"/>
        </w:rPr>
        <w:t>,</w:t>
      </w:r>
      <w:r>
        <w:rPr>
          <w:rFonts w:ascii="Arial" w:hAnsi="Arial" w:cs="Arial"/>
          <w:sz w:val="22"/>
          <w:szCs w:val="22"/>
        </w:rPr>
        <w:t xml:space="preserve">503 </w:t>
      </w:r>
      <w:r w:rsidR="00671B4F">
        <w:rPr>
          <w:rFonts w:ascii="Arial" w:hAnsi="Arial" w:cs="Arial"/>
          <w:sz w:val="22"/>
          <w:szCs w:val="22"/>
        </w:rPr>
        <w:t xml:space="preserve">individuals </w:t>
      </w:r>
      <w:r>
        <w:rPr>
          <w:rFonts w:ascii="Arial" w:hAnsi="Arial" w:cs="Arial"/>
          <w:sz w:val="22"/>
          <w:szCs w:val="22"/>
        </w:rPr>
        <w:t>was selected</w:t>
      </w:r>
      <w:r w:rsidR="00671B4F">
        <w:rPr>
          <w:rFonts w:ascii="Arial" w:hAnsi="Arial" w:cs="Arial"/>
          <w:sz w:val="22"/>
          <w:szCs w:val="22"/>
        </w:rPr>
        <w:t>,</w:t>
      </w:r>
      <w:r>
        <w:rPr>
          <w:rFonts w:ascii="Arial" w:hAnsi="Arial" w:cs="Arial"/>
          <w:sz w:val="22"/>
          <w:szCs w:val="22"/>
        </w:rPr>
        <w:t xml:space="preserve"> </w:t>
      </w:r>
      <w:r w:rsidR="00285E65">
        <w:rPr>
          <w:rFonts w:ascii="Arial" w:hAnsi="Arial" w:cs="Arial"/>
          <w:sz w:val="22"/>
          <w:szCs w:val="22"/>
        </w:rPr>
        <w:t xml:space="preserve">of which 1423 responded </w:t>
      </w:r>
      <w:r w:rsidR="00671B4F">
        <w:rPr>
          <w:rFonts w:ascii="Arial" w:hAnsi="Arial" w:cs="Arial"/>
          <w:sz w:val="22"/>
          <w:szCs w:val="22"/>
        </w:rPr>
        <w:t>and confirmed that they were previously self-employed</w:t>
      </w:r>
      <w:r w:rsidR="00285E65">
        <w:rPr>
          <w:rFonts w:ascii="Arial" w:hAnsi="Arial" w:cs="Arial"/>
          <w:sz w:val="22"/>
          <w:szCs w:val="22"/>
        </w:rPr>
        <w:t xml:space="preserve">. Weights </w:t>
      </w:r>
      <w:r w:rsidR="00671B4F">
        <w:rPr>
          <w:rFonts w:ascii="Arial" w:hAnsi="Arial" w:cs="Arial"/>
          <w:sz w:val="22"/>
          <w:szCs w:val="22"/>
        </w:rPr>
        <w:t>were calculated for these cases.</w:t>
      </w:r>
    </w:p>
    <w:p w:rsidR="00285E65" w:rsidRDefault="00285E65" w:rsidP="00BD47D3">
      <w:pPr>
        <w:rPr>
          <w:rFonts w:ascii="Arial" w:hAnsi="Arial" w:cs="Arial"/>
          <w:sz w:val="22"/>
          <w:szCs w:val="22"/>
        </w:rPr>
      </w:pPr>
    </w:p>
    <w:p w:rsidR="00285E65" w:rsidRDefault="00285E65" w:rsidP="00285E65">
      <w:pPr>
        <w:pStyle w:val="ListParagraph"/>
        <w:numPr>
          <w:ilvl w:val="0"/>
          <w:numId w:val="1"/>
        </w:numPr>
        <w:rPr>
          <w:rFonts w:ascii="Arial" w:hAnsi="Arial" w:cs="Arial"/>
          <w:b/>
          <w:sz w:val="22"/>
          <w:szCs w:val="22"/>
        </w:rPr>
      </w:pPr>
      <w:r>
        <w:rPr>
          <w:rFonts w:ascii="Arial" w:hAnsi="Arial" w:cs="Arial"/>
          <w:b/>
          <w:sz w:val="22"/>
          <w:szCs w:val="22"/>
        </w:rPr>
        <w:t>Weighting</w:t>
      </w:r>
    </w:p>
    <w:p w:rsidR="00285E65" w:rsidRDefault="00285E65" w:rsidP="00285E65">
      <w:pPr>
        <w:rPr>
          <w:rFonts w:ascii="Arial" w:hAnsi="Arial" w:cs="Arial"/>
          <w:b/>
          <w:sz w:val="22"/>
          <w:szCs w:val="22"/>
        </w:rPr>
      </w:pPr>
    </w:p>
    <w:p w:rsidR="00285E65" w:rsidRDefault="00285E65" w:rsidP="00285E65">
      <w:pPr>
        <w:rPr>
          <w:rFonts w:ascii="Arial" w:hAnsi="Arial" w:cs="Arial"/>
          <w:sz w:val="22"/>
          <w:szCs w:val="22"/>
        </w:rPr>
      </w:pPr>
      <w:r>
        <w:rPr>
          <w:rFonts w:ascii="Arial" w:hAnsi="Arial" w:cs="Arial"/>
          <w:sz w:val="22"/>
          <w:szCs w:val="22"/>
        </w:rPr>
        <w:t xml:space="preserve">Weights are used to allow estimates of population characteristics to be calculated. </w:t>
      </w:r>
      <w:r w:rsidR="00671B4F">
        <w:rPr>
          <w:rFonts w:ascii="Arial" w:hAnsi="Arial" w:cs="Arial"/>
          <w:sz w:val="22"/>
          <w:szCs w:val="22"/>
        </w:rPr>
        <w:t>In general, for ONS social surveys, d</w:t>
      </w:r>
      <w:r>
        <w:rPr>
          <w:rFonts w:ascii="Arial" w:hAnsi="Arial" w:cs="Arial"/>
          <w:sz w:val="22"/>
          <w:szCs w:val="22"/>
        </w:rPr>
        <w:t>esign weights are first calculated</w:t>
      </w:r>
      <w:r w:rsidR="00671B4F">
        <w:rPr>
          <w:rFonts w:ascii="Arial" w:hAnsi="Arial" w:cs="Arial"/>
          <w:sz w:val="22"/>
          <w:szCs w:val="22"/>
        </w:rPr>
        <w:t>,</w:t>
      </w:r>
      <w:r>
        <w:rPr>
          <w:rFonts w:ascii="Arial" w:hAnsi="Arial" w:cs="Arial"/>
          <w:sz w:val="22"/>
          <w:szCs w:val="22"/>
        </w:rPr>
        <w:t xml:space="preserve"> to account for the sample design</w:t>
      </w:r>
      <w:r w:rsidR="00671B4F">
        <w:rPr>
          <w:rFonts w:ascii="Arial" w:hAnsi="Arial" w:cs="Arial"/>
          <w:sz w:val="22"/>
          <w:szCs w:val="22"/>
        </w:rPr>
        <w:t>,</w:t>
      </w:r>
      <w:r>
        <w:rPr>
          <w:rFonts w:ascii="Arial" w:hAnsi="Arial" w:cs="Arial"/>
          <w:sz w:val="22"/>
          <w:szCs w:val="22"/>
        </w:rPr>
        <w:t xml:space="preserve"> </w:t>
      </w:r>
      <w:r w:rsidR="00671B4F">
        <w:rPr>
          <w:rFonts w:ascii="Arial" w:hAnsi="Arial" w:cs="Arial"/>
          <w:sz w:val="22"/>
          <w:szCs w:val="22"/>
        </w:rPr>
        <w:t xml:space="preserve">as </w:t>
      </w:r>
      <w:r>
        <w:rPr>
          <w:rFonts w:ascii="Arial" w:hAnsi="Arial" w:cs="Arial"/>
          <w:sz w:val="22"/>
          <w:szCs w:val="22"/>
        </w:rPr>
        <w:t>the inverse of the probability of selection. Non-response adjustments may be made to reduce non-response bias. Calibration is then used to make the sample more representative of the population and estimates more precise. This ensures that the correct population totals and distributions, such as age, sex, region, are achieved.</w:t>
      </w:r>
    </w:p>
    <w:p w:rsidR="0031498D" w:rsidRDefault="0031498D" w:rsidP="00285E65">
      <w:pPr>
        <w:rPr>
          <w:rFonts w:ascii="Arial" w:hAnsi="Arial" w:cs="Arial"/>
          <w:sz w:val="22"/>
          <w:szCs w:val="22"/>
        </w:rPr>
      </w:pPr>
    </w:p>
    <w:p w:rsidR="0031498D" w:rsidRDefault="0031498D" w:rsidP="00285E65">
      <w:pPr>
        <w:rPr>
          <w:rFonts w:ascii="Arial" w:hAnsi="Arial" w:cs="Arial"/>
          <w:sz w:val="22"/>
          <w:szCs w:val="22"/>
        </w:rPr>
      </w:pPr>
      <w:r>
        <w:rPr>
          <w:rFonts w:ascii="Arial" w:hAnsi="Arial" w:cs="Arial"/>
          <w:sz w:val="22"/>
          <w:szCs w:val="22"/>
        </w:rPr>
        <w:t>Weights were calculated for those</w:t>
      </w:r>
      <w:r w:rsidR="001E17E0">
        <w:rPr>
          <w:rFonts w:ascii="Arial" w:hAnsi="Arial" w:cs="Arial"/>
          <w:sz w:val="22"/>
          <w:szCs w:val="22"/>
        </w:rPr>
        <w:t xml:space="preserve"> </w:t>
      </w:r>
      <w:r w:rsidR="00671B4F">
        <w:rPr>
          <w:rFonts w:ascii="Arial" w:hAnsi="Arial" w:cs="Arial"/>
          <w:sz w:val="22"/>
          <w:szCs w:val="22"/>
        </w:rPr>
        <w:t>who responded and</w:t>
      </w:r>
      <w:r>
        <w:rPr>
          <w:rFonts w:ascii="Arial" w:hAnsi="Arial" w:cs="Arial"/>
          <w:sz w:val="22"/>
          <w:szCs w:val="22"/>
        </w:rPr>
        <w:t xml:space="preserve"> were still self-employed </w:t>
      </w:r>
      <w:r w:rsidR="00671B4F">
        <w:rPr>
          <w:rFonts w:ascii="Arial" w:hAnsi="Arial" w:cs="Arial"/>
          <w:sz w:val="22"/>
          <w:szCs w:val="22"/>
        </w:rPr>
        <w:t>or who</w:t>
      </w:r>
      <w:r>
        <w:rPr>
          <w:rFonts w:ascii="Arial" w:hAnsi="Arial" w:cs="Arial"/>
          <w:sz w:val="22"/>
          <w:szCs w:val="22"/>
        </w:rPr>
        <w:t xml:space="preserve"> were no longer self-employed. Weights were not calculated for those who said that they’d never been self-employed.</w:t>
      </w:r>
    </w:p>
    <w:p w:rsidR="00285E65" w:rsidRDefault="00285E65" w:rsidP="00285E65">
      <w:pPr>
        <w:rPr>
          <w:rFonts w:ascii="Arial" w:hAnsi="Arial" w:cs="Arial"/>
          <w:sz w:val="22"/>
          <w:szCs w:val="22"/>
        </w:rPr>
      </w:pPr>
    </w:p>
    <w:p w:rsidR="00285E65" w:rsidRDefault="00285E65" w:rsidP="00285E65">
      <w:pPr>
        <w:pStyle w:val="ListParagraph"/>
        <w:numPr>
          <w:ilvl w:val="1"/>
          <w:numId w:val="1"/>
        </w:numPr>
        <w:rPr>
          <w:rFonts w:ascii="Arial" w:hAnsi="Arial" w:cs="Arial"/>
          <w:b/>
          <w:sz w:val="22"/>
          <w:szCs w:val="22"/>
        </w:rPr>
      </w:pPr>
      <w:r>
        <w:rPr>
          <w:rFonts w:ascii="Arial" w:hAnsi="Arial" w:cs="Arial"/>
          <w:b/>
          <w:sz w:val="22"/>
          <w:szCs w:val="22"/>
        </w:rPr>
        <w:t>Design weights</w:t>
      </w:r>
    </w:p>
    <w:p w:rsidR="00285E65" w:rsidRDefault="00285E65" w:rsidP="00285E65">
      <w:pPr>
        <w:rPr>
          <w:rFonts w:ascii="Arial" w:hAnsi="Arial" w:cs="Arial"/>
          <w:b/>
          <w:sz w:val="22"/>
          <w:szCs w:val="22"/>
        </w:rPr>
      </w:pPr>
    </w:p>
    <w:p w:rsidR="00B45D49" w:rsidRDefault="00671B4F" w:rsidP="00285E65">
      <w:pPr>
        <w:rPr>
          <w:rFonts w:ascii="Arial" w:hAnsi="Arial" w:cs="Arial"/>
          <w:sz w:val="22"/>
          <w:szCs w:val="22"/>
        </w:rPr>
      </w:pPr>
      <w:r>
        <w:rPr>
          <w:rFonts w:ascii="Arial" w:hAnsi="Arial" w:cs="Arial"/>
          <w:sz w:val="22"/>
          <w:szCs w:val="22"/>
        </w:rPr>
        <w:t xml:space="preserve">The January-December </w:t>
      </w:r>
      <w:r w:rsidR="00B45D49">
        <w:rPr>
          <w:rFonts w:ascii="Arial" w:hAnsi="Arial" w:cs="Arial"/>
          <w:sz w:val="22"/>
          <w:szCs w:val="22"/>
        </w:rPr>
        <w:t xml:space="preserve">APS 2014 </w:t>
      </w:r>
      <w:r>
        <w:rPr>
          <w:rFonts w:ascii="Arial" w:hAnsi="Arial" w:cs="Arial"/>
          <w:sz w:val="22"/>
          <w:szCs w:val="22"/>
        </w:rPr>
        <w:t xml:space="preserve">dataset </w:t>
      </w:r>
      <w:r w:rsidR="00B45D49">
        <w:rPr>
          <w:rFonts w:ascii="Arial" w:hAnsi="Arial" w:cs="Arial"/>
          <w:sz w:val="22"/>
          <w:szCs w:val="22"/>
        </w:rPr>
        <w:t>contains the four quarters of LFS wave 5 data that we’ve used as a basis for our sample frame as described in Section</w:t>
      </w:r>
      <w:r w:rsidR="00A80CC9">
        <w:rPr>
          <w:rFonts w:ascii="Arial" w:hAnsi="Arial" w:cs="Arial"/>
          <w:sz w:val="22"/>
          <w:szCs w:val="22"/>
        </w:rPr>
        <w:t>s 3.1. and</w:t>
      </w:r>
      <w:r w:rsidR="00B45D49">
        <w:rPr>
          <w:rFonts w:ascii="Arial" w:hAnsi="Arial" w:cs="Arial"/>
          <w:sz w:val="22"/>
          <w:szCs w:val="22"/>
        </w:rPr>
        <w:t xml:space="preserve"> 3.3. The probability that a wave 5 case is in the APS is equal to the probability that a wave 5 case is in the corresponding quarter of the LFS. As a result, the design w</w:t>
      </w:r>
      <w:r w:rsidR="001614DB">
        <w:rPr>
          <w:rFonts w:ascii="Arial" w:hAnsi="Arial" w:cs="Arial"/>
          <w:sz w:val="22"/>
          <w:szCs w:val="22"/>
        </w:rPr>
        <w:t>eights for each of the surveys are</w:t>
      </w:r>
      <w:r w:rsidR="00B45D49">
        <w:rPr>
          <w:rFonts w:ascii="Arial" w:hAnsi="Arial" w:cs="Arial"/>
          <w:sz w:val="22"/>
          <w:szCs w:val="22"/>
        </w:rPr>
        <w:t xml:space="preserve"> the same for these cases. It was decided to take the design weight from the APS dataset as a base design weight for the BIS Self-employed survey to save time and increase efficiency as they were all stored in one place.</w:t>
      </w:r>
    </w:p>
    <w:p w:rsidR="001614DB" w:rsidRDefault="001614DB" w:rsidP="00285E65">
      <w:pPr>
        <w:rPr>
          <w:rFonts w:ascii="Arial" w:hAnsi="Arial" w:cs="Arial"/>
          <w:sz w:val="22"/>
          <w:szCs w:val="22"/>
        </w:rPr>
      </w:pPr>
    </w:p>
    <w:p w:rsidR="001614DB" w:rsidRDefault="001614DB" w:rsidP="001614DB">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2"/>
          <w:szCs w:val="22"/>
          <w:lang w:val="en-GB"/>
        </w:rPr>
      </w:pPr>
      <w:r>
        <w:rPr>
          <w:rFonts w:ascii="Arial" w:hAnsi="Arial" w:cs="Arial"/>
          <w:sz w:val="22"/>
          <w:szCs w:val="22"/>
        </w:rPr>
        <w:lastRenderedPageBreak/>
        <w:t xml:space="preserve">As all households were selected the probability of selecting a household is equal to one. Therefore no adjustments to the design weights based on household selection were required. </w:t>
      </w:r>
      <w:r w:rsidR="00671B4F">
        <w:rPr>
          <w:rFonts w:ascii="Arial" w:hAnsi="Arial" w:cs="Arial"/>
          <w:sz w:val="22"/>
          <w:szCs w:val="22"/>
        </w:rPr>
        <w:t xml:space="preserve">The </w:t>
      </w:r>
      <w:r>
        <w:rPr>
          <w:rFonts w:ascii="Arial" w:hAnsi="Arial" w:cs="Arial"/>
          <w:sz w:val="22"/>
          <w:szCs w:val="22"/>
        </w:rPr>
        <w:t xml:space="preserve">APS design weights were </w:t>
      </w:r>
      <w:r>
        <w:rPr>
          <w:rFonts w:ascii="Helv" w:hAnsi="Helv" w:cs="Helv"/>
          <w:color w:val="000000"/>
          <w:sz w:val="22"/>
          <w:szCs w:val="22"/>
          <w:lang w:val="en-GB"/>
        </w:rPr>
        <w:t>scaled by the number of people that were self-employed in the household and the number of people selected within the household</w:t>
      </w:r>
      <w:r w:rsidR="001E17E0">
        <w:rPr>
          <w:rFonts w:ascii="Helv" w:hAnsi="Helv" w:cs="Helv"/>
          <w:color w:val="000000"/>
          <w:sz w:val="22"/>
          <w:szCs w:val="22"/>
          <w:lang w:val="en-GB"/>
        </w:rPr>
        <w:t xml:space="preserve"> accounting for the probability of selecting a person within a household</w:t>
      </w:r>
      <w:r>
        <w:rPr>
          <w:rFonts w:ascii="Helv" w:hAnsi="Helv" w:cs="Helv"/>
          <w:color w:val="000000"/>
          <w:sz w:val="22"/>
          <w:szCs w:val="22"/>
          <w:lang w:val="en-GB"/>
        </w:rPr>
        <w:t xml:space="preserve"> i.e.</w:t>
      </w:r>
    </w:p>
    <w:p w:rsidR="001614DB" w:rsidRDefault="001614DB" w:rsidP="001614DB">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2"/>
          <w:szCs w:val="22"/>
          <w:lang w:val="en-GB"/>
        </w:rPr>
      </w:pPr>
    </w:p>
    <w:p w:rsidR="001614DB" w:rsidRDefault="001614DB" w:rsidP="001614DB">
      <w:pPr>
        <w:rPr>
          <w:rFonts w:ascii="Arial" w:hAnsi="Arial" w:cs="Arial"/>
          <w:sz w:val="22"/>
          <w:szCs w:val="22"/>
        </w:rPr>
      </w:pPr>
      <w:r>
        <w:rPr>
          <w:rFonts w:ascii="Helv" w:hAnsi="Helv" w:cs="Helv"/>
          <w:noProof/>
          <w:color w:val="000000"/>
          <w:sz w:val="22"/>
          <w:szCs w:val="22"/>
          <w:lang w:val="en-GB" w:eastAsia="en-GB"/>
        </w:rPr>
        <w:drawing>
          <wp:inline distT="0" distB="0" distL="0" distR="0">
            <wp:extent cx="5105400" cy="371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05400" cy="371475"/>
                    </a:xfrm>
                    <a:prstGeom prst="rect">
                      <a:avLst/>
                    </a:prstGeom>
                    <a:noFill/>
                    <a:ln w="9525">
                      <a:noFill/>
                      <a:miter lim="800000"/>
                      <a:headEnd/>
                      <a:tailEnd/>
                    </a:ln>
                  </pic:spPr>
                </pic:pic>
              </a:graphicData>
            </a:graphic>
          </wp:inline>
        </w:drawing>
      </w:r>
    </w:p>
    <w:p w:rsidR="001E17E0" w:rsidRDefault="001E17E0" w:rsidP="001614DB">
      <w:pPr>
        <w:rPr>
          <w:rFonts w:ascii="Arial" w:hAnsi="Arial" w:cs="Arial"/>
          <w:sz w:val="22"/>
          <w:szCs w:val="22"/>
        </w:rPr>
      </w:pPr>
    </w:p>
    <w:p w:rsidR="001614DB" w:rsidRDefault="001614DB" w:rsidP="001614DB">
      <w:pPr>
        <w:pStyle w:val="ListParagraph"/>
        <w:numPr>
          <w:ilvl w:val="1"/>
          <w:numId w:val="1"/>
        </w:numPr>
        <w:rPr>
          <w:rFonts w:ascii="Arial" w:hAnsi="Arial" w:cs="Arial"/>
          <w:b/>
          <w:sz w:val="22"/>
          <w:szCs w:val="22"/>
        </w:rPr>
      </w:pPr>
      <w:r>
        <w:rPr>
          <w:rFonts w:ascii="Arial" w:hAnsi="Arial" w:cs="Arial"/>
          <w:b/>
          <w:sz w:val="22"/>
          <w:szCs w:val="22"/>
        </w:rPr>
        <w:t>Non-response adjustments</w:t>
      </w:r>
    </w:p>
    <w:p w:rsidR="001614DB" w:rsidRDefault="001614DB" w:rsidP="001614DB">
      <w:pPr>
        <w:rPr>
          <w:rFonts w:ascii="Arial" w:hAnsi="Arial" w:cs="Arial"/>
          <w:b/>
          <w:sz w:val="22"/>
          <w:szCs w:val="22"/>
        </w:rPr>
      </w:pPr>
    </w:p>
    <w:p w:rsidR="001614DB" w:rsidRDefault="005D74C4" w:rsidP="001614DB">
      <w:pPr>
        <w:rPr>
          <w:rFonts w:ascii="Arial" w:hAnsi="Arial" w:cs="Arial"/>
          <w:sz w:val="22"/>
          <w:szCs w:val="22"/>
        </w:rPr>
      </w:pPr>
      <w:r>
        <w:rPr>
          <w:rFonts w:ascii="Arial" w:hAnsi="Arial" w:cs="Arial"/>
          <w:sz w:val="22"/>
          <w:szCs w:val="22"/>
        </w:rPr>
        <w:t>When calculating the weights for the BIS Self-employed survey</w:t>
      </w:r>
      <w:r w:rsidR="00506A28">
        <w:rPr>
          <w:rFonts w:ascii="Arial" w:hAnsi="Arial" w:cs="Arial"/>
          <w:sz w:val="22"/>
          <w:szCs w:val="22"/>
        </w:rPr>
        <w:t xml:space="preserve">, </w:t>
      </w:r>
      <w:r w:rsidR="007615FD">
        <w:rPr>
          <w:rFonts w:ascii="Arial" w:hAnsi="Arial" w:cs="Arial"/>
          <w:sz w:val="22"/>
          <w:szCs w:val="22"/>
        </w:rPr>
        <w:t xml:space="preserve">explicit </w:t>
      </w:r>
      <w:r w:rsidR="00506A28">
        <w:rPr>
          <w:rFonts w:ascii="Arial" w:hAnsi="Arial" w:cs="Arial"/>
          <w:sz w:val="22"/>
          <w:szCs w:val="22"/>
        </w:rPr>
        <w:t>sample based</w:t>
      </w:r>
      <w:r>
        <w:rPr>
          <w:rFonts w:ascii="Arial" w:hAnsi="Arial" w:cs="Arial"/>
          <w:sz w:val="22"/>
          <w:szCs w:val="22"/>
        </w:rPr>
        <w:t xml:space="preserve"> non-response adjustments were not made. This was because the weights were required in a short space of time and it was assumed that the main contributory factors to non-response would be age, sex and region which would be accounted for in calibration.</w:t>
      </w:r>
      <w:r w:rsidR="00506A28">
        <w:rPr>
          <w:rFonts w:ascii="Arial" w:hAnsi="Arial" w:cs="Arial"/>
          <w:sz w:val="22"/>
          <w:szCs w:val="22"/>
        </w:rPr>
        <w:t xml:space="preserve"> Calibration would therefore </w:t>
      </w:r>
      <w:r w:rsidR="00A80CC9">
        <w:rPr>
          <w:rFonts w:ascii="Arial" w:hAnsi="Arial" w:cs="Arial"/>
          <w:sz w:val="22"/>
          <w:szCs w:val="22"/>
        </w:rPr>
        <w:t>reduce</w:t>
      </w:r>
      <w:r w:rsidR="00506A28">
        <w:rPr>
          <w:rFonts w:ascii="Arial" w:hAnsi="Arial" w:cs="Arial"/>
          <w:sz w:val="22"/>
          <w:szCs w:val="22"/>
        </w:rPr>
        <w:t xml:space="preserve"> non-response bias.</w:t>
      </w:r>
    </w:p>
    <w:p w:rsidR="005D74C4" w:rsidRDefault="005D74C4" w:rsidP="001614DB">
      <w:pPr>
        <w:rPr>
          <w:rFonts w:ascii="Arial" w:hAnsi="Arial" w:cs="Arial"/>
          <w:sz w:val="22"/>
          <w:szCs w:val="22"/>
        </w:rPr>
      </w:pPr>
    </w:p>
    <w:p w:rsidR="005D74C4" w:rsidRPr="005D74C4" w:rsidRDefault="005D74C4" w:rsidP="005D74C4">
      <w:pPr>
        <w:pStyle w:val="ListParagraph"/>
        <w:numPr>
          <w:ilvl w:val="1"/>
          <w:numId w:val="1"/>
        </w:numPr>
        <w:rPr>
          <w:rFonts w:ascii="Arial" w:hAnsi="Arial" w:cs="Arial"/>
          <w:b/>
          <w:sz w:val="22"/>
          <w:szCs w:val="22"/>
        </w:rPr>
      </w:pPr>
      <w:r>
        <w:rPr>
          <w:rFonts w:ascii="Arial" w:hAnsi="Arial" w:cs="Arial"/>
          <w:b/>
          <w:sz w:val="22"/>
          <w:szCs w:val="22"/>
        </w:rPr>
        <w:t>Population Totals</w:t>
      </w:r>
    </w:p>
    <w:p w:rsidR="005D74C4" w:rsidRDefault="005D74C4" w:rsidP="005D74C4">
      <w:pPr>
        <w:rPr>
          <w:rFonts w:ascii="Arial" w:hAnsi="Arial" w:cs="Arial"/>
          <w:b/>
          <w:sz w:val="22"/>
          <w:szCs w:val="22"/>
        </w:rPr>
      </w:pPr>
    </w:p>
    <w:p w:rsidR="005D74C4" w:rsidRDefault="005D74C4" w:rsidP="005D74C4">
      <w:pPr>
        <w:rPr>
          <w:rFonts w:ascii="Arial" w:hAnsi="Arial" w:cs="Arial"/>
          <w:sz w:val="22"/>
          <w:szCs w:val="22"/>
        </w:rPr>
      </w:pPr>
      <w:r>
        <w:rPr>
          <w:rFonts w:ascii="Arial" w:hAnsi="Arial" w:cs="Arial"/>
          <w:sz w:val="22"/>
          <w:szCs w:val="22"/>
        </w:rPr>
        <w:t xml:space="preserve">The population of interest was those who identified themselves as being self-employed in the UK. </w:t>
      </w:r>
      <w:r w:rsidR="00A80CC9">
        <w:rPr>
          <w:rFonts w:ascii="Arial" w:hAnsi="Arial" w:cs="Arial"/>
          <w:sz w:val="22"/>
          <w:szCs w:val="22"/>
        </w:rPr>
        <w:t>As questions were asked of people who were self-employed in 2014 but not</w:t>
      </w:r>
      <w:r w:rsidR="00D764F2">
        <w:rPr>
          <w:rFonts w:ascii="Arial" w:hAnsi="Arial" w:cs="Arial"/>
          <w:sz w:val="22"/>
          <w:szCs w:val="22"/>
        </w:rPr>
        <w:t xml:space="preserve"> </w:t>
      </w:r>
      <w:r w:rsidR="007615FD">
        <w:rPr>
          <w:rFonts w:ascii="Arial" w:hAnsi="Arial" w:cs="Arial"/>
          <w:sz w:val="22"/>
          <w:szCs w:val="22"/>
        </w:rPr>
        <w:t>necessarily</w:t>
      </w:r>
      <w:r w:rsidR="00A80CC9">
        <w:rPr>
          <w:rFonts w:ascii="Arial" w:hAnsi="Arial" w:cs="Arial"/>
          <w:sz w:val="22"/>
          <w:szCs w:val="22"/>
        </w:rPr>
        <w:t xml:space="preserve"> at the time of the interview in 2015 this reduces to those who were self-employed in 2014. </w:t>
      </w:r>
      <w:r>
        <w:rPr>
          <w:rFonts w:ascii="Arial" w:hAnsi="Arial" w:cs="Arial"/>
          <w:sz w:val="22"/>
          <w:szCs w:val="22"/>
        </w:rPr>
        <w:t>These included individuals that were still self-employed in 2015 and those that were no longer self-employed in 2015. The sample would not capture those who had become self-employed since 2014 as none of these cases would have been present on the sample frame. As</w:t>
      </w:r>
      <w:r w:rsidR="00E555AE">
        <w:rPr>
          <w:rFonts w:ascii="Arial" w:hAnsi="Arial" w:cs="Arial"/>
          <w:sz w:val="22"/>
          <w:szCs w:val="22"/>
        </w:rPr>
        <w:t xml:space="preserve"> a result</w:t>
      </w:r>
      <w:r>
        <w:rPr>
          <w:rFonts w:ascii="Arial" w:hAnsi="Arial" w:cs="Arial"/>
          <w:sz w:val="22"/>
          <w:szCs w:val="22"/>
        </w:rPr>
        <w:t xml:space="preserve"> the weights were calibrated to the number of self-employed individuals in 2014. This means that all estimates relat</w:t>
      </w:r>
      <w:r w:rsidR="00671B4F">
        <w:rPr>
          <w:rFonts w:ascii="Arial" w:hAnsi="Arial" w:cs="Arial"/>
          <w:sz w:val="22"/>
          <w:szCs w:val="22"/>
        </w:rPr>
        <w:t>e</w:t>
      </w:r>
      <w:r>
        <w:rPr>
          <w:rFonts w:ascii="Arial" w:hAnsi="Arial" w:cs="Arial"/>
          <w:sz w:val="22"/>
          <w:szCs w:val="22"/>
        </w:rPr>
        <w:t xml:space="preserve"> to those who were self-employed in 2014.</w:t>
      </w:r>
      <w:r w:rsidR="002C5CA7">
        <w:rPr>
          <w:rFonts w:ascii="Arial" w:hAnsi="Arial" w:cs="Arial"/>
          <w:sz w:val="22"/>
          <w:szCs w:val="22"/>
        </w:rPr>
        <w:t xml:space="preserve"> The total number of self-employed individuals in 2014 was estimated using data from the APS.</w:t>
      </w:r>
    </w:p>
    <w:p w:rsidR="00A80CC9" w:rsidRDefault="00A80CC9" w:rsidP="005D74C4">
      <w:pPr>
        <w:rPr>
          <w:rFonts w:ascii="Arial" w:hAnsi="Arial" w:cs="Arial"/>
          <w:sz w:val="22"/>
          <w:szCs w:val="22"/>
        </w:rPr>
      </w:pPr>
    </w:p>
    <w:p w:rsidR="005D74C4" w:rsidRDefault="005D74C4" w:rsidP="005D74C4">
      <w:pPr>
        <w:pStyle w:val="ListParagraph"/>
        <w:numPr>
          <w:ilvl w:val="1"/>
          <w:numId w:val="1"/>
        </w:numPr>
        <w:rPr>
          <w:rFonts w:ascii="Arial" w:hAnsi="Arial" w:cs="Arial"/>
          <w:b/>
          <w:sz w:val="22"/>
          <w:szCs w:val="22"/>
        </w:rPr>
      </w:pPr>
      <w:r>
        <w:rPr>
          <w:rFonts w:ascii="Arial" w:hAnsi="Arial" w:cs="Arial"/>
          <w:b/>
          <w:sz w:val="22"/>
          <w:szCs w:val="22"/>
        </w:rPr>
        <w:t>Calibration</w:t>
      </w:r>
    </w:p>
    <w:p w:rsidR="005D74C4" w:rsidRDefault="005D74C4" w:rsidP="005D74C4">
      <w:pPr>
        <w:rPr>
          <w:rFonts w:ascii="Arial" w:hAnsi="Arial" w:cs="Arial"/>
          <w:b/>
          <w:sz w:val="22"/>
          <w:szCs w:val="22"/>
        </w:rPr>
      </w:pPr>
    </w:p>
    <w:p w:rsidR="005D74C4" w:rsidRDefault="005D74C4" w:rsidP="005D74C4">
      <w:pPr>
        <w:rPr>
          <w:rFonts w:ascii="Arial" w:hAnsi="Arial" w:cs="Arial"/>
          <w:sz w:val="22"/>
          <w:szCs w:val="22"/>
        </w:rPr>
      </w:pPr>
      <w:r>
        <w:rPr>
          <w:rFonts w:ascii="Arial" w:hAnsi="Arial" w:cs="Arial"/>
          <w:sz w:val="22"/>
          <w:szCs w:val="22"/>
        </w:rPr>
        <w:t>Calibration was used to ensure that the weights summed to the correct population totals making the estimates re</w:t>
      </w:r>
      <w:r w:rsidR="002C5CA7">
        <w:rPr>
          <w:rFonts w:ascii="Arial" w:hAnsi="Arial" w:cs="Arial"/>
          <w:sz w:val="22"/>
          <w:szCs w:val="22"/>
        </w:rPr>
        <w:t>presentative of the population. This population was defined to be the number of self-employed individuals in 2014 as detailed in Section 4.3.</w:t>
      </w:r>
    </w:p>
    <w:p w:rsidR="00671B4F" w:rsidRDefault="00671B4F" w:rsidP="005D74C4">
      <w:pPr>
        <w:rPr>
          <w:rFonts w:ascii="Arial" w:hAnsi="Arial" w:cs="Arial"/>
          <w:sz w:val="22"/>
          <w:szCs w:val="22"/>
        </w:rPr>
      </w:pPr>
    </w:p>
    <w:p w:rsidR="00671B4F" w:rsidRDefault="00671B4F" w:rsidP="005D74C4">
      <w:pPr>
        <w:rPr>
          <w:rFonts w:ascii="Arial" w:hAnsi="Arial" w:cs="Arial"/>
          <w:sz w:val="22"/>
          <w:szCs w:val="22"/>
        </w:rPr>
      </w:pPr>
      <w:r>
        <w:rPr>
          <w:rFonts w:ascii="Arial" w:hAnsi="Arial" w:cs="Arial"/>
          <w:sz w:val="22"/>
          <w:szCs w:val="22"/>
        </w:rPr>
        <w:t>The intention was to use age, sex and region in some combination as calibration groups, but the practicality of this was limited by small sample sizes. As a result the following separate sets of marginal totals were used:</w:t>
      </w:r>
    </w:p>
    <w:p w:rsidR="00671B4F" w:rsidRDefault="00164EAF" w:rsidP="00671B4F">
      <w:pPr>
        <w:pStyle w:val="ListParagraph"/>
        <w:numPr>
          <w:ilvl w:val="0"/>
          <w:numId w:val="4"/>
        </w:numPr>
        <w:autoSpaceDE w:val="0"/>
        <w:autoSpaceDN w:val="0"/>
        <w:adjustRightInd w:val="0"/>
        <w:spacing w:after="240"/>
        <w:rPr>
          <w:rFonts w:ascii="Helv" w:hAnsi="Helv" w:cs="Helv"/>
          <w:color w:val="000000"/>
          <w:sz w:val="22"/>
          <w:szCs w:val="22"/>
          <w:lang w:val="en-GB"/>
        </w:rPr>
      </w:pPr>
      <w:r>
        <w:rPr>
          <w:rFonts w:ascii="Helv" w:hAnsi="Helv" w:cs="Helv"/>
          <w:color w:val="000000"/>
          <w:sz w:val="22"/>
          <w:szCs w:val="22"/>
          <w:lang w:val="en-GB"/>
        </w:rPr>
        <w:t>Government Office Region (</w:t>
      </w:r>
      <w:r w:rsidR="00671B4F">
        <w:rPr>
          <w:rFonts w:ascii="Helv" w:hAnsi="Helv" w:cs="Helv"/>
          <w:color w:val="000000"/>
          <w:sz w:val="22"/>
          <w:szCs w:val="22"/>
          <w:lang w:val="en-GB"/>
        </w:rPr>
        <w:t>GOR</w:t>
      </w:r>
      <w:r>
        <w:rPr>
          <w:rFonts w:ascii="Helv" w:hAnsi="Helv" w:cs="Helv"/>
          <w:color w:val="000000"/>
          <w:sz w:val="22"/>
          <w:szCs w:val="22"/>
          <w:lang w:val="en-GB"/>
        </w:rPr>
        <w:t>)</w:t>
      </w:r>
      <w:r w:rsidR="00671B4F">
        <w:rPr>
          <w:rFonts w:ascii="Helv" w:hAnsi="Helv" w:cs="Helv"/>
          <w:color w:val="000000"/>
          <w:sz w:val="22"/>
          <w:szCs w:val="22"/>
          <w:lang w:val="en-GB"/>
        </w:rPr>
        <w:t xml:space="preserve"> (11 groups)</w:t>
      </w:r>
    </w:p>
    <w:p w:rsidR="00671B4F" w:rsidRDefault="00164EAF" w:rsidP="00671B4F">
      <w:pPr>
        <w:pStyle w:val="ListParagraph"/>
        <w:numPr>
          <w:ilvl w:val="0"/>
          <w:numId w:val="4"/>
        </w:numPr>
        <w:autoSpaceDE w:val="0"/>
        <w:autoSpaceDN w:val="0"/>
        <w:adjustRightInd w:val="0"/>
        <w:spacing w:after="240"/>
        <w:rPr>
          <w:rFonts w:ascii="Helv" w:hAnsi="Helv" w:cs="Helv"/>
          <w:color w:val="000000"/>
          <w:sz w:val="22"/>
          <w:szCs w:val="22"/>
          <w:lang w:val="en-GB"/>
        </w:rPr>
      </w:pPr>
      <w:r>
        <w:rPr>
          <w:rFonts w:ascii="Helv" w:hAnsi="Helv" w:cs="Helv"/>
          <w:color w:val="000000"/>
          <w:sz w:val="22"/>
          <w:szCs w:val="22"/>
          <w:lang w:val="en-GB"/>
        </w:rPr>
        <w:t>b</w:t>
      </w:r>
      <w:r w:rsidR="00671B4F">
        <w:rPr>
          <w:rFonts w:ascii="Helv" w:hAnsi="Helv" w:cs="Helv"/>
          <w:color w:val="000000"/>
          <w:sz w:val="22"/>
          <w:szCs w:val="22"/>
          <w:lang w:val="en-GB"/>
        </w:rPr>
        <w:t>anded age (6 groups)</w:t>
      </w:r>
    </w:p>
    <w:p w:rsidR="00671B4F" w:rsidRPr="00103D10" w:rsidRDefault="00164EAF" w:rsidP="00671B4F">
      <w:pPr>
        <w:pStyle w:val="ListParagraph"/>
        <w:numPr>
          <w:ilvl w:val="0"/>
          <w:numId w:val="4"/>
        </w:numPr>
        <w:autoSpaceDE w:val="0"/>
        <w:autoSpaceDN w:val="0"/>
        <w:adjustRightInd w:val="0"/>
        <w:spacing w:after="240"/>
        <w:rPr>
          <w:rFonts w:ascii="Helv" w:hAnsi="Helv" w:cs="Helv"/>
          <w:color w:val="000000"/>
          <w:sz w:val="22"/>
          <w:szCs w:val="22"/>
          <w:lang w:val="en-GB"/>
        </w:rPr>
      </w:pPr>
      <w:r>
        <w:rPr>
          <w:rFonts w:ascii="Helv" w:hAnsi="Helv" w:cs="Helv"/>
          <w:color w:val="000000"/>
          <w:sz w:val="22"/>
          <w:szCs w:val="22"/>
          <w:lang w:val="en-GB"/>
        </w:rPr>
        <w:t>s</w:t>
      </w:r>
      <w:r w:rsidR="00671B4F">
        <w:rPr>
          <w:rFonts w:ascii="Helv" w:hAnsi="Helv" w:cs="Helv"/>
          <w:color w:val="000000"/>
          <w:sz w:val="22"/>
          <w:szCs w:val="22"/>
          <w:lang w:val="en-GB"/>
        </w:rPr>
        <w:t>ex by over/under 55 years (4 groups)</w:t>
      </w:r>
    </w:p>
    <w:p w:rsidR="00671B4F" w:rsidRDefault="00164EAF" w:rsidP="005D74C4">
      <w:pPr>
        <w:rPr>
          <w:rFonts w:ascii="Arial" w:hAnsi="Arial" w:cs="Arial"/>
          <w:sz w:val="22"/>
          <w:szCs w:val="22"/>
        </w:rPr>
      </w:pPr>
      <w:r>
        <w:rPr>
          <w:rFonts w:ascii="Arial" w:hAnsi="Arial" w:cs="Arial"/>
          <w:sz w:val="22"/>
          <w:szCs w:val="22"/>
        </w:rPr>
        <w:t>For these groups Merseyside was combined with the North West as a result of the small sample sizes and sex was split by over/under 55 years as a result of non-response patterns seen in the data.</w:t>
      </w:r>
    </w:p>
    <w:p w:rsidR="007615FD" w:rsidRDefault="007615FD" w:rsidP="005D74C4">
      <w:pPr>
        <w:rPr>
          <w:rFonts w:ascii="Arial" w:hAnsi="Arial" w:cs="Arial"/>
          <w:sz w:val="22"/>
          <w:szCs w:val="22"/>
        </w:rPr>
      </w:pPr>
    </w:p>
    <w:p w:rsidR="007615FD" w:rsidRDefault="007615FD" w:rsidP="005D74C4">
      <w:pPr>
        <w:rPr>
          <w:rFonts w:ascii="Arial" w:hAnsi="Arial" w:cs="Arial"/>
          <w:sz w:val="22"/>
          <w:szCs w:val="22"/>
        </w:rPr>
      </w:pPr>
      <w:r>
        <w:rPr>
          <w:rFonts w:ascii="Arial" w:hAnsi="Arial" w:cs="Arial"/>
          <w:sz w:val="22"/>
          <w:szCs w:val="22"/>
        </w:rPr>
        <w:t>Calibration using these groups illustrated some discrepancies in totals for small break downs but there wasn’t an obvious pattern underlying this. The number of calibration groups could not be increased due to the small sample size, therefore the best approximation has been made.</w:t>
      </w:r>
    </w:p>
    <w:p w:rsidR="0031498D" w:rsidRDefault="0031498D" w:rsidP="00164EAF">
      <w:pPr>
        <w:rPr>
          <w:rFonts w:ascii="Arial" w:hAnsi="Arial" w:cs="Arial"/>
          <w:b/>
          <w:sz w:val="22"/>
          <w:szCs w:val="22"/>
        </w:rPr>
      </w:pPr>
    </w:p>
    <w:p w:rsidR="0031498D" w:rsidRDefault="0031498D" w:rsidP="0031498D">
      <w:pPr>
        <w:pStyle w:val="ListParagraph"/>
        <w:numPr>
          <w:ilvl w:val="0"/>
          <w:numId w:val="1"/>
        </w:numPr>
        <w:rPr>
          <w:rFonts w:ascii="Arial" w:hAnsi="Arial" w:cs="Arial"/>
          <w:b/>
          <w:sz w:val="22"/>
          <w:szCs w:val="22"/>
        </w:rPr>
      </w:pPr>
      <w:r>
        <w:rPr>
          <w:rFonts w:ascii="Arial" w:hAnsi="Arial" w:cs="Arial"/>
          <w:b/>
          <w:sz w:val="22"/>
          <w:szCs w:val="22"/>
        </w:rPr>
        <w:lastRenderedPageBreak/>
        <w:t>Conclusion</w:t>
      </w:r>
    </w:p>
    <w:p w:rsidR="0031498D" w:rsidRDefault="0031498D" w:rsidP="0031498D">
      <w:pPr>
        <w:rPr>
          <w:rFonts w:ascii="Arial" w:hAnsi="Arial" w:cs="Arial"/>
          <w:b/>
          <w:sz w:val="22"/>
          <w:szCs w:val="22"/>
        </w:rPr>
      </w:pPr>
    </w:p>
    <w:p w:rsidR="0031498D" w:rsidRDefault="007615FD" w:rsidP="0031498D">
      <w:pPr>
        <w:rPr>
          <w:rFonts w:ascii="Arial" w:hAnsi="Arial" w:cs="Arial"/>
          <w:sz w:val="22"/>
          <w:szCs w:val="22"/>
        </w:rPr>
      </w:pPr>
      <w:r>
        <w:rPr>
          <w:rFonts w:ascii="Arial" w:hAnsi="Arial" w:cs="Arial"/>
          <w:sz w:val="22"/>
          <w:szCs w:val="22"/>
        </w:rPr>
        <w:t>In response to</w:t>
      </w:r>
      <w:r w:rsidR="0031498D">
        <w:rPr>
          <w:rFonts w:ascii="Arial" w:hAnsi="Arial" w:cs="Arial"/>
          <w:sz w:val="22"/>
          <w:szCs w:val="22"/>
        </w:rPr>
        <w:t xml:space="preserve"> the rise in the number of self-employed people in the UK BIS requested that ONS collect</w:t>
      </w:r>
      <w:r w:rsidR="00164EAF">
        <w:rPr>
          <w:rFonts w:ascii="Arial" w:hAnsi="Arial" w:cs="Arial"/>
          <w:sz w:val="22"/>
          <w:szCs w:val="22"/>
        </w:rPr>
        <w:t>s</w:t>
      </w:r>
      <w:r w:rsidR="0031498D">
        <w:rPr>
          <w:rFonts w:ascii="Arial" w:hAnsi="Arial" w:cs="Arial"/>
          <w:sz w:val="22"/>
          <w:szCs w:val="22"/>
        </w:rPr>
        <w:t xml:space="preserve"> information about self-employed individuals in a short space of time. Using wave 6 of the LFS allowed for targeting self-employed individuals providing an efficient sample frame. Telephone interviews allowed for collection of information about those that were</w:t>
      </w:r>
      <w:r>
        <w:rPr>
          <w:rFonts w:ascii="Arial" w:hAnsi="Arial" w:cs="Arial"/>
          <w:sz w:val="22"/>
          <w:szCs w:val="22"/>
        </w:rPr>
        <w:t xml:space="preserve"> still</w:t>
      </w:r>
      <w:r w:rsidR="0031498D">
        <w:rPr>
          <w:rFonts w:ascii="Arial" w:hAnsi="Arial" w:cs="Arial"/>
          <w:sz w:val="22"/>
          <w:szCs w:val="22"/>
        </w:rPr>
        <w:t xml:space="preserve"> self-employed and those that were no longer self employed. Using these methods allowed for </w:t>
      </w:r>
      <w:r w:rsidR="00164EAF">
        <w:rPr>
          <w:rFonts w:ascii="Arial" w:hAnsi="Arial" w:cs="Arial"/>
          <w:sz w:val="22"/>
          <w:szCs w:val="22"/>
        </w:rPr>
        <w:t>selection of the sample and weighted responses within the time limitations provided.</w:t>
      </w:r>
    </w:p>
    <w:p w:rsidR="0031498D" w:rsidRDefault="0031498D" w:rsidP="0031498D">
      <w:pPr>
        <w:rPr>
          <w:rFonts w:ascii="Arial" w:hAnsi="Arial" w:cs="Arial"/>
          <w:sz w:val="22"/>
          <w:szCs w:val="22"/>
        </w:rPr>
      </w:pPr>
    </w:p>
    <w:p w:rsidR="007D1433" w:rsidRPr="00267931" w:rsidRDefault="0031498D" w:rsidP="00267931">
      <w:pPr>
        <w:rPr>
          <w:rFonts w:ascii="Arial" w:hAnsi="Arial" w:cs="Arial"/>
          <w:sz w:val="22"/>
          <w:szCs w:val="22"/>
        </w:rPr>
      </w:pPr>
      <w:r>
        <w:rPr>
          <w:rFonts w:ascii="Arial" w:hAnsi="Arial" w:cs="Arial"/>
          <w:sz w:val="22"/>
          <w:szCs w:val="22"/>
        </w:rPr>
        <w:t xml:space="preserve">The weights were calibrated to an estimate of the number of self-employed people in the UK in 2014 </w:t>
      </w:r>
      <w:r w:rsidR="00164EAF">
        <w:rPr>
          <w:rFonts w:ascii="Arial" w:hAnsi="Arial" w:cs="Arial"/>
          <w:sz w:val="22"/>
          <w:szCs w:val="22"/>
        </w:rPr>
        <w:t>to account for</w:t>
      </w:r>
      <w:r>
        <w:rPr>
          <w:rFonts w:ascii="Arial" w:hAnsi="Arial" w:cs="Arial"/>
          <w:sz w:val="22"/>
          <w:szCs w:val="22"/>
        </w:rPr>
        <w:t xml:space="preserve"> limitations of the sampling frame </w:t>
      </w:r>
      <w:r w:rsidR="00360A5A">
        <w:rPr>
          <w:rFonts w:ascii="Arial" w:hAnsi="Arial" w:cs="Arial"/>
          <w:sz w:val="22"/>
          <w:szCs w:val="22"/>
        </w:rPr>
        <w:t xml:space="preserve">not allowing for individuals who have become self-employed since 2014 to be sampled. This means that the estimates refer to those that were self-employed in 2014. Calibration was made difficult </w:t>
      </w:r>
      <w:r w:rsidR="007615FD">
        <w:rPr>
          <w:rFonts w:ascii="Arial" w:hAnsi="Arial" w:cs="Arial"/>
          <w:sz w:val="22"/>
          <w:szCs w:val="22"/>
        </w:rPr>
        <w:t>because of</w:t>
      </w:r>
      <w:r w:rsidR="00360A5A">
        <w:rPr>
          <w:rFonts w:ascii="Arial" w:hAnsi="Arial" w:cs="Arial"/>
          <w:sz w:val="22"/>
          <w:szCs w:val="22"/>
        </w:rPr>
        <w:t xml:space="preserve"> the small sample sizes for particular age groups. Discrepancies in break downs of the final calibrated weights showed no obvious distribution so the best approximation has been made.</w:t>
      </w:r>
    </w:p>
    <w:sectPr w:rsidR="007D1433" w:rsidRPr="00267931" w:rsidSect="00D311A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7E0" w:rsidRDefault="001E17E0">
      <w:r>
        <w:separator/>
      </w:r>
    </w:p>
  </w:endnote>
  <w:endnote w:type="continuationSeparator" w:id="0">
    <w:p w:rsidR="001E17E0" w:rsidRDefault="001E1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7E0" w:rsidRDefault="001E17E0">
      <w:r>
        <w:separator/>
      </w:r>
    </w:p>
  </w:footnote>
  <w:footnote w:type="continuationSeparator" w:id="0">
    <w:p w:rsidR="001E17E0" w:rsidRDefault="001E1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31821"/>
    <w:multiLevelType w:val="multilevel"/>
    <w:tmpl w:val="4F6448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CD801DD"/>
    <w:multiLevelType w:val="hybridMultilevel"/>
    <w:tmpl w:val="6608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6901CF"/>
    <w:multiLevelType w:val="hybridMultilevel"/>
    <w:tmpl w:val="108C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F61390"/>
    <w:multiLevelType w:val="hybridMultilevel"/>
    <w:tmpl w:val="59DE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footnotePr>
    <w:footnote w:id="-1"/>
    <w:footnote w:id="0"/>
  </w:footnotePr>
  <w:endnotePr>
    <w:endnote w:id="-1"/>
    <w:endnote w:id="0"/>
  </w:endnotePr>
  <w:compat/>
  <w:rsids>
    <w:rsidRoot w:val="00027A43"/>
    <w:rsid w:val="00011561"/>
    <w:rsid w:val="000261C4"/>
    <w:rsid w:val="00027A43"/>
    <w:rsid w:val="00032E88"/>
    <w:rsid w:val="0003362F"/>
    <w:rsid w:val="000F2A1C"/>
    <w:rsid w:val="000F44D6"/>
    <w:rsid w:val="000F5511"/>
    <w:rsid w:val="000F7761"/>
    <w:rsid w:val="00103D10"/>
    <w:rsid w:val="00123AFB"/>
    <w:rsid w:val="00125121"/>
    <w:rsid w:val="001267C1"/>
    <w:rsid w:val="001324B7"/>
    <w:rsid w:val="001503DE"/>
    <w:rsid w:val="001614DB"/>
    <w:rsid w:val="00164EAF"/>
    <w:rsid w:val="001B34D1"/>
    <w:rsid w:val="001E17E0"/>
    <w:rsid w:val="0026689B"/>
    <w:rsid w:val="00267931"/>
    <w:rsid w:val="00285E65"/>
    <w:rsid w:val="002B13A9"/>
    <w:rsid w:val="002C5CA7"/>
    <w:rsid w:val="002C7905"/>
    <w:rsid w:val="0031498D"/>
    <w:rsid w:val="00332243"/>
    <w:rsid w:val="00345DE1"/>
    <w:rsid w:val="00360A5A"/>
    <w:rsid w:val="00374886"/>
    <w:rsid w:val="003F2654"/>
    <w:rsid w:val="00410DA1"/>
    <w:rsid w:val="00446FDB"/>
    <w:rsid w:val="00456A79"/>
    <w:rsid w:val="004A679D"/>
    <w:rsid w:val="004B7528"/>
    <w:rsid w:val="00503BDD"/>
    <w:rsid w:val="00503D49"/>
    <w:rsid w:val="00506A28"/>
    <w:rsid w:val="00512592"/>
    <w:rsid w:val="005415F8"/>
    <w:rsid w:val="00553516"/>
    <w:rsid w:val="005B51CE"/>
    <w:rsid w:val="005C54EC"/>
    <w:rsid w:val="005D74C4"/>
    <w:rsid w:val="0060513B"/>
    <w:rsid w:val="006052EC"/>
    <w:rsid w:val="0061065C"/>
    <w:rsid w:val="00610DDD"/>
    <w:rsid w:val="00671B4F"/>
    <w:rsid w:val="006948B1"/>
    <w:rsid w:val="006D19E4"/>
    <w:rsid w:val="006E7854"/>
    <w:rsid w:val="006F53A5"/>
    <w:rsid w:val="0075630C"/>
    <w:rsid w:val="007615FD"/>
    <w:rsid w:val="00763CE0"/>
    <w:rsid w:val="007D1433"/>
    <w:rsid w:val="007D7BCB"/>
    <w:rsid w:val="007E25B5"/>
    <w:rsid w:val="007F5286"/>
    <w:rsid w:val="00827555"/>
    <w:rsid w:val="0086119B"/>
    <w:rsid w:val="008A1387"/>
    <w:rsid w:val="008B5B94"/>
    <w:rsid w:val="0092034E"/>
    <w:rsid w:val="00960ABC"/>
    <w:rsid w:val="00996859"/>
    <w:rsid w:val="009A3168"/>
    <w:rsid w:val="009C3635"/>
    <w:rsid w:val="009C58C3"/>
    <w:rsid w:val="009F332C"/>
    <w:rsid w:val="00A80CC9"/>
    <w:rsid w:val="00AC654C"/>
    <w:rsid w:val="00B133BB"/>
    <w:rsid w:val="00B147E8"/>
    <w:rsid w:val="00B23264"/>
    <w:rsid w:val="00B45D49"/>
    <w:rsid w:val="00B675F2"/>
    <w:rsid w:val="00B87168"/>
    <w:rsid w:val="00BB0ADA"/>
    <w:rsid w:val="00BB27DC"/>
    <w:rsid w:val="00BD47D3"/>
    <w:rsid w:val="00BF460F"/>
    <w:rsid w:val="00C23691"/>
    <w:rsid w:val="00C46537"/>
    <w:rsid w:val="00CA7EB1"/>
    <w:rsid w:val="00D311A9"/>
    <w:rsid w:val="00D3287F"/>
    <w:rsid w:val="00D335B7"/>
    <w:rsid w:val="00D41621"/>
    <w:rsid w:val="00D764F2"/>
    <w:rsid w:val="00D95635"/>
    <w:rsid w:val="00DB53B4"/>
    <w:rsid w:val="00DE7373"/>
    <w:rsid w:val="00E50492"/>
    <w:rsid w:val="00E555AE"/>
    <w:rsid w:val="00E7418D"/>
    <w:rsid w:val="00E95858"/>
    <w:rsid w:val="00F04C41"/>
    <w:rsid w:val="00F10372"/>
    <w:rsid w:val="00F17674"/>
    <w:rsid w:val="00F23FF4"/>
    <w:rsid w:val="00F7645B"/>
    <w:rsid w:val="00FC5788"/>
    <w:rsid w:val="00FE4A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 w:type="paragraph" w:styleId="ListParagraph">
    <w:name w:val="List Paragraph"/>
    <w:basedOn w:val="Normal"/>
    <w:uiPriority w:val="34"/>
    <w:qFormat/>
    <w:rsid w:val="00CA7EB1"/>
    <w:pPr>
      <w:ind w:left="720"/>
      <w:contextualSpacing/>
    </w:pPr>
  </w:style>
  <w:style w:type="paragraph" w:styleId="NormalWeb">
    <w:name w:val="Normal (Web)"/>
    <w:basedOn w:val="Normal"/>
    <w:uiPriority w:val="99"/>
    <w:unhideWhenUsed/>
    <w:rsid w:val="009C3635"/>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415929007">
      <w:bodyDiv w:val="1"/>
      <w:marLeft w:val="0"/>
      <w:marRight w:val="0"/>
      <w:marTop w:val="0"/>
      <w:marBottom w:val="0"/>
      <w:divBdr>
        <w:top w:val="none" w:sz="0" w:space="0" w:color="auto"/>
        <w:left w:val="none" w:sz="0" w:space="0" w:color="auto"/>
        <w:bottom w:val="none" w:sz="0" w:space="0" w:color="auto"/>
        <w:right w:val="none" w:sz="0" w:space="0" w:color="auto"/>
      </w:divBdr>
    </w:div>
    <w:div w:id="15411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E96AD-F1F4-4A6C-BE97-A510116D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2030</Words>
  <Characters>11577</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13580</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connok</cp:lastModifiedBy>
  <cp:revision>3</cp:revision>
  <cp:lastPrinted>2010-11-05T14:33:00Z</cp:lastPrinted>
  <dcterms:created xsi:type="dcterms:W3CDTF">2016-09-02T07:41:00Z</dcterms:created>
  <dcterms:modified xsi:type="dcterms:W3CDTF">2016-09-02T08:45:00Z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ies>
</file>