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361" w:rsidRDefault="00820E21">
      <w:pPr>
        <w:jc w:val="both"/>
      </w:pPr>
      <w:r>
        <w:rPr>
          <w:sz w:val="20"/>
          <w:szCs w:val="20"/>
        </w:rPr>
        <w:t>Proceedings of the 22</w:t>
      </w:r>
      <w:r>
        <w:rPr>
          <w:sz w:val="20"/>
          <w:szCs w:val="20"/>
          <w:vertAlign w:val="superscript"/>
        </w:rPr>
        <w:t>nd</w:t>
      </w:r>
      <w:r>
        <w:rPr>
          <w:sz w:val="20"/>
          <w:szCs w:val="20"/>
        </w:rPr>
        <w:t xml:space="preserve"> GSS Methodology Symposium 2017</w:t>
      </w:r>
    </w:p>
    <w:p w:rsidR="00FD4361" w:rsidRDefault="00820E21">
      <w:pPr>
        <w:jc w:val="both"/>
        <w:rPr>
          <w:sz w:val="20"/>
          <w:szCs w:val="20"/>
        </w:rPr>
      </w:pPr>
      <w:r>
        <w:rPr>
          <w:sz w:val="20"/>
          <w:szCs w:val="20"/>
        </w:rPr>
        <w:t>Methodology: Insight; Innovation; Implementation; Impact</w:t>
      </w:r>
    </w:p>
    <w:p w:rsidR="00FD4361" w:rsidRDefault="00FD4361">
      <w:pPr>
        <w:jc w:val="both"/>
      </w:pPr>
    </w:p>
    <w:p w:rsidR="00FD4361" w:rsidRDefault="00820E21">
      <w:pPr>
        <w:jc w:val="center"/>
      </w:pPr>
      <w:r>
        <w:rPr>
          <w:b/>
          <w:sz w:val="28"/>
          <w:szCs w:val="28"/>
        </w:rPr>
        <w:t>Anticipating Brexit Effects in Time Series Analysis</w:t>
      </w:r>
    </w:p>
    <w:p w:rsidR="00FD4361" w:rsidRDefault="00FD4361">
      <w:pPr>
        <w:jc w:val="both"/>
        <w:rPr>
          <w:sz w:val="28"/>
        </w:rPr>
      </w:pPr>
    </w:p>
    <w:p w:rsidR="00FD4361" w:rsidRDefault="00C21152">
      <w:pPr>
        <w:jc w:val="center"/>
      </w:pPr>
      <w:r w:rsidRPr="00C21152">
        <w:rPr>
          <w:sz w:val="20"/>
          <w:szCs w:val="22"/>
        </w:rPr>
        <w:t xml:space="preserve">Jennifer Davies; Duncan Elliott; Charlotte </w:t>
      </w:r>
      <w:proofErr w:type="spellStart"/>
      <w:r w:rsidRPr="00C21152">
        <w:rPr>
          <w:sz w:val="20"/>
          <w:szCs w:val="22"/>
        </w:rPr>
        <w:t>Gaughan</w:t>
      </w:r>
      <w:proofErr w:type="spellEnd"/>
      <w:r w:rsidRPr="00C21152">
        <w:rPr>
          <w:sz w:val="20"/>
          <w:szCs w:val="22"/>
        </w:rPr>
        <w:t xml:space="preserve">; </w:t>
      </w:r>
      <w:proofErr w:type="spellStart"/>
      <w:r w:rsidRPr="00C21152">
        <w:rPr>
          <w:sz w:val="20"/>
          <w:szCs w:val="22"/>
        </w:rPr>
        <w:t>Atanaska</w:t>
      </w:r>
      <w:proofErr w:type="spellEnd"/>
      <w:r w:rsidRPr="00C21152">
        <w:rPr>
          <w:sz w:val="20"/>
          <w:szCs w:val="22"/>
        </w:rPr>
        <w:t xml:space="preserve"> </w:t>
      </w:r>
      <w:proofErr w:type="spellStart"/>
      <w:r w:rsidRPr="00C21152">
        <w:rPr>
          <w:sz w:val="20"/>
          <w:szCs w:val="22"/>
        </w:rPr>
        <w:t>Nikolova</w:t>
      </w:r>
      <w:proofErr w:type="spellEnd"/>
      <w:r w:rsidR="00820E21">
        <w:rPr>
          <w:rStyle w:val="Ancredenotedebasdepage"/>
          <w:sz w:val="20"/>
          <w:szCs w:val="20"/>
        </w:rPr>
        <w:footnoteReference w:id="1"/>
      </w:r>
    </w:p>
    <w:p w:rsidR="00FD4361" w:rsidRDefault="00FD4361">
      <w:pPr>
        <w:jc w:val="both"/>
      </w:pPr>
    </w:p>
    <w:p w:rsidR="00FD4361" w:rsidRDefault="00820E21">
      <w:pPr>
        <w:jc w:val="center"/>
      </w:pPr>
      <w:r>
        <w:rPr>
          <w:b/>
        </w:rPr>
        <w:t>Abstract</w:t>
      </w:r>
    </w:p>
    <w:p w:rsidR="00FD4361" w:rsidRDefault="00FD4361">
      <w:pPr>
        <w:jc w:val="both"/>
      </w:pPr>
    </w:p>
    <w:p w:rsidR="00FD4361" w:rsidRPr="00C21152" w:rsidRDefault="00C21152">
      <w:pPr>
        <w:ind w:left="720" w:right="720"/>
        <w:jc w:val="both"/>
        <w:rPr>
          <w:sz w:val="16"/>
          <w:szCs w:val="16"/>
        </w:rPr>
      </w:pPr>
      <w:r w:rsidRPr="00C21152">
        <w:rPr>
          <w:sz w:val="16"/>
          <w:szCs w:val="16"/>
        </w:rPr>
        <w:t>The outcome of the European Union referendum and the exiting of the United Kingdom from the EU could have a widespread impact on economic time series produced by the Office for National Statistics. The impact could manifest itself in the form of outliers, level shifts and ramps at the end of a time series, which can be difficult to identify and categorise correctly. Failing to account for these correctly can lead to revisions to seasonally adjusted series and forecasts when they are later detected. We aim to minimise the impact of revisions to ensure an accurate and reliable estimate of the economy. This paper presents an empirical study of univariate options for modelling shocks, taking in to account previous research in the field. A consideration is also given as to whether incorporating expert Economists views on Brexit effects in to models, is a worthwhile approach.</w:t>
      </w:r>
    </w:p>
    <w:p w:rsidR="00FD4361" w:rsidRDefault="00FD4361">
      <w:pPr>
        <w:ind w:left="720" w:right="720"/>
        <w:jc w:val="both"/>
        <w:rPr>
          <w:sz w:val="16"/>
        </w:rPr>
      </w:pPr>
    </w:p>
    <w:p w:rsidR="00FD4361" w:rsidRDefault="00820E21">
      <w:pPr>
        <w:ind w:left="720" w:right="720"/>
        <w:jc w:val="both"/>
      </w:pPr>
      <w:r>
        <w:rPr>
          <w:sz w:val="16"/>
        </w:rPr>
        <w:t xml:space="preserve">Key Words:  </w:t>
      </w:r>
      <w:r w:rsidR="00C21152" w:rsidRPr="00C21152">
        <w:rPr>
          <w:sz w:val="16"/>
          <w:szCs w:val="22"/>
        </w:rPr>
        <w:t>time series, seasonal adjustment, forecasting, outliers</w:t>
      </w:r>
    </w:p>
    <w:p w:rsidR="00FD4361" w:rsidRDefault="00FD4361">
      <w:pPr>
        <w:jc w:val="both"/>
      </w:pPr>
    </w:p>
    <w:p w:rsidR="00FD4361" w:rsidRDefault="00FD4361">
      <w:pPr>
        <w:jc w:val="both"/>
      </w:pPr>
    </w:p>
    <w:p w:rsidR="008A250D" w:rsidRDefault="008A250D">
      <w:pPr>
        <w:jc w:val="both"/>
      </w:pPr>
    </w:p>
    <w:p w:rsidR="008A250D" w:rsidRDefault="008A250D">
      <w:pPr>
        <w:jc w:val="both"/>
      </w:pPr>
    </w:p>
    <w:p w:rsidR="00FD4361" w:rsidRDefault="00820E21">
      <w:pPr>
        <w:jc w:val="center"/>
      </w:pPr>
      <w:r>
        <w:rPr>
          <w:b/>
        </w:rPr>
        <w:t>1.  Introduction</w:t>
      </w:r>
    </w:p>
    <w:p w:rsidR="00FD4361" w:rsidRDefault="00FD4361">
      <w:pPr>
        <w:jc w:val="both"/>
      </w:pPr>
    </w:p>
    <w:p w:rsidR="00FD4361" w:rsidRDefault="00820E21">
      <w:pPr>
        <w:jc w:val="both"/>
      </w:pPr>
      <w:r>
        <w:rPr>
          <w:b/>
        </w:rPr>
        <w:t>1.1 Motivation and Background</w:t>
      </w:r>
    </w:p>
    <w:p w:rsidR="00FD4361" w:rsidRDefault="00FD4361">
      <w:pPr>
        <w:jc w:val="both"/>
      </w:pPr>
    </w:p>
    <w:p w:rsidR="00FD4361" w:rsidRDefault="00820E21">
      <w:pPr>
        <w:jc w:val="both"/>
      </w:pPr>
      <w:r>
        <w:rPr>
          <w:sz w:val="20"/>
          <w:szCs w:val="20"/>
        </w:rPr>
        <w:t xml:space="preserve">The analysis of economic time series in the context of official statistics typically involves seasonal adjustment or forecasting. Seasonal adjustment is related to estimating and removing effects that have a repetitive pattern each year (for example, sales increasing in the period around Christmas) and can potentially mask underlying trends in the data. Forecasting involves estimation of future data points in order to inform decisions in a timely manner. Once true data is available, forecasted values are replaced with real ones. </w:t>
      </w:r>
    </w:p>
    <w:p w:rsidR="00FD4361" w:rsidRDefault="00FD4361">
      <w:pPr>
        <w:jc w:val="both"/>
        <w:rPr>
          <w:sz w:val="20"/>
          <w:szCs w:val="20"/>
        </w:rPr>
      </w:pPr>
    </w:p>
    <w:p w:rsidR="00FD4361" w:rsidRDefault="00820E21">
      <w:pPr>
        <w:jc w:val="both"/>
      </w:pPr>
      <w:r>
        <w:rPr>
          <w:sz w:val="20"/>
          <w:szCs w:val="20"/>
        </w:rPr>
        <w:t xml:space="preserve">The good quality of both of these procedures is dependent on the quality of the data and prior knowledge of the impact of economic events. Atypical events, such as one-off outliers or sustained level shifts, can disturb the regularity of the time series and thus need to be modelled in order to produce realistic forecasts and adequate seasonal adjustment. However, in the time of economic uncertainty or crisis, it is difficult to anticipate perturbations at the end of the time series as possible effects may be delayed or take an unexpected turn. One recent example is the outcome of the EU Referendum in June 2016, which became widely known as “Brexit”. This event is expected to have a widespread impact on British economy, but the exact direction, magnitude or timing of this impact is not known. </w:t>
      </w:r>
    </w:p>
    <w:p w:rsidR="00FD4361" w:rsidRDefault="00FD4361">
      <w:pPr>
        <w:jc w:val="both"/>
        <w:rPr>
          <w:sz w:val="20"/>
          <w:szCs w:val="20"/>
        </w:rPr>
      </w:pPr>
    </w:p>
    <w:p w:rsidR="00FD4361" w:rsidRDefault="00820E21">
      <w:pPr>
        <w:jc w:val="both"/>
      </w:pPr>
      <w:r>
        <w:rPr>
          <w:sz w:val="20"/>
          <w:szCs w:val="20"/>
        </w:rPr>
        <w:t xml:space="preserve">Previous research by Kirchner and </w:t>
      </w:r>
      <w:proofErr w:type="spellStart"/>
      <w:r>
        <w:rPr>
          <w:sz w:val="20"/>
          <w:szCs w:val="20"/>
        </w:rPr>
        <w:t>Mehrhoff</w:t>
      </w:r>
      <w:proofErr w:type="spellEnd"/>
      <w:r>
        <w:rPr>
          <w:sz w:val="20"/>
          <w:szCs w:val="20"/>
        </w:rPr>
        <w:t xml:space="preserve"> (2012) suggested that failing to model outliers at the time of economic uncertainty can lead to unrealistic seasonally adjusted values and artificial turning points up to a year after the impact of the event. In turn, this means large revisions to the seasonal adjustment once the impact of the event is established. It was suggested that it may be beneficial at times of uncertainty to treat each incoming data point as an outlier until the true state of affairs can be established. Although such a technique may be useful for accounting for true outliers in a timely manner, it may also be damaging due to </w:t>
      </w:r>
      <w:proofErr w:type="spellStart"/>
      <w:r>
        <w:rPr>
          <w:sz w:val="20"/>
          <w:szCs w:val="20"/>
        </w:rPr>
        <w:t>mis</w:t>
      </w:r>
      <w:proofErr w:type="spellEnd"/>
      <w:r>
        <w:rPr>
          <w:sz w:val="20"/>
          <w:szCs w:val="20"/>
        </w:rPr>
        <w:t xml:space="preserve">-classification or </w:t>
      </w:r>
      <w:proofErr w:type="spellStart"/>
      <w:r>
        <w:rPr>
          <w:sz w:val="20"/>
          <w:szCs w:val="20"/>
        </w:rPr>
        <w:t>overfitting</w:t>
      </w:r>
      <w:proofErr w:type="spellEnd"/>
      <w:r>
        <w:rPr>
          <w:sz w:val="20"/>
          <w:szCs w:val="20"/>
        </w:rPr>
        <w:t xml:space="preserve">, which also can result in unwanted revisions. </w:t>
      </w:r>
    </w:p>
    <w:p w:rsidR="00FD4361" w:rsidRDefault="00FD4361">
      <w:pPr>
        <w:jc w:val="both"/>
        <w:rPr>
          <w:sz w:val="20"/>
          <w:szCs w:val="20"/>
        </w:rPr>
      </w:pPr>
    </w:p>
    <w:p w:rsidR="00FD4361" w:rsidRDefault="00820E21">
      <w:pPr>
        <w:jc w:val="both"/>
      </w:pPr>
      <w:r>
        <w:rPr>
          <w:sz w:val="20"/>
          <w:szCs w:val="20"/>
        </w:rPr>
        <w:lastRenderedPageBreak/>
        <w:t xml:space="preserve">The current study aimed to test several methods that can be applied to potentially minimise revisions to seasonally adjusted data and decrease forecast errors in the face of economic uncertainty. The principal aim was to eventually apply this to the period after the EU Referendum, but due to insufficient data available to perform </w:t>
      </w:r>
      <w:r w:rsidR="00650ADF">
        <w:rPr>
          <w:sz w:val="20"/>
          <w:szCs w:val="20"/>
        </w:rPr>
        <w:t>empirical</w:t>
      </w:r>
      <w:r>
        <w:rPr>
          <w:sz w:val="20"/>
          <w:szCs w:val="20"/>
        </w:rPr>
        <w:t xml:space="preserve"> tests</w:t>
      </w:r>
      <w:r w:rsidR="00650ADF">
        <w:rPr>
          <w:sz w:val="20"/>
          <w:szCs w:val="20"/>
        </w:rPr>
        <w:t xml:space="preserve"> at the time</w:t>
      </w:r>
      <w:r>
        <w:rPr>
          <w:sz w:val="20"/>
          <w:szCs w:val="20"/>
        </w:rPr>
        <w:t>, the time period after the 2008 economic downturn was used instead.</w:t>
      </w:r>
    </w:p>
    <w:p w:rsidR="00FD4361" w:rsidRDefault="00FD4361">
      <w:pPr>
        <w:jc w:val="both"/>
      </w:pPr>
    </w:p>
    <w:p w:rsidR="00FD4361" w:rsidRDefault="00820E21">
      <w:pPr>
        <w:jc w:val="both"/>
      </w:pPr>
      <w:r>
        <w:rPr>
          <w:b/>
        </w:rPr>
        <w:t>1.2 Time Series Analysis at</w:t>
      </w:r>
      <w:r w:rsidR="00650ADF">
        <w:rPr>
          <w:b/>
        </w:rPr>
        <w:t xml:space="preserve"> the</w:t>
      </w:r>
      <w:r>
        <w:rPr>
          <w:b/>
        </w:rPr>
        <w:t xml:space="preserve"> Office for National Statistics</w:t>
      </w:r>
    </w:p>
    <w:p w:rsidR="00FD4361" w:rsidRDefault="00FD4361">
      <w:pPr>
        <w:jc w:val="both"/>
      </w:pPr>
    </w:p>
    <w:p w:rsidR="00FD4361" w:rsidRDefault="00820E21">
      <w:pPr>
        <w:jc w:val="both"/>
      </w:pPr>
      <w:r>
        <w:rPr>
          <w:sz w:val="20"/>
          <w:szCs w:val="20"/>
        </w:rPr>
        <w:t xml:space="preserve">The time series analysis branch at the Office for National Statistics analyses thousands of economic time series. The main parameters used for seasonal adjustment are reviewed once a year and then fixed until the next review in order to minimise revisions. It is at these review points that additive outliers (one-off deviations from the typical pattern of the data, usually for a single data point), levels shifts, ramps (successive level shifts), seasonal breaks (sustained changes in the seasonal pattern of the series), or any other potentially disturbing events are identified. Their effect is estimated and removed before seasonal adjustment is performed, that is, the series is cleaned or prior-adjusted. This cleaning, as well as forecasting, is performed with a method called </w:t>
      </w:r>
      <w:proofErr w:type="spellStart"/>
      <w:r>
        <w:rPr>
          <w:sz w:val="20"/>
          <w:szCs w:val="20"/>
        </w:rPr>
        <w:t>regARIMA</w:t>
      </w:r>
      <w:proofErr w:type="spellEnd"/>
      <w:r>
        <w:rPr>
          <w:sz w:val="20"/>
          <w:szCs w:val="20"/>
        </w:rPr>
        <w:t xml:space="preserve"> modelling, and then seasonal adjustment is performed with the X-11 method, which is based on iterative sequence of moving averages. After seasonal adjustment, the effect of outliers and level shifts is put back into the series so that it can be visible by the user. This procedure is done with the X-13ARIMA-SEATS software (Findley, </w:t>
      </w:r>
      <w:proofErr w:type="spellStart"/>
      <w:r>
        <w:rPr>
          <w:sz w:val="20"/>
          <w:szCs w:val="20"/>
        </w:rPr>
        <w:t>Monsell</w:t>
      </w:r>
      <w:proofErr w:type="spellEnd"/>
      <w:r>
        <w:rPr>
          <w:sz w:val="20"/>
          <w:szCs w:val="20"/>
        </w:rPr>
        <w:t>, Bell, Otto, &amp; Chen, 1998).</w:t>
      </w:r>
    </w:p>
    <w:p w:rsidR="00FD4361" w:rsidRDefault="00FD4361">
      <w:pPr>
        <w:jc w:val="both"/>
        <w:rPr>
          <w:sz w:val="20"/>
          <w:szCs w:val="20"/>
        </w:rPr>
      </w:pPr>
    </w:p>
    <w:p w:rsidR="00FD4361" w:rsidRDefault="00820E21">
      <w:pPr>
        <w:jc w:val="both"/>
      </w:pPr>
      <w:r>
        <w:rPr>
          <w:b/>
        </w:rPr>
        <w:t>1.3 Impact of Outliers</w:t>
      </w:r>
    </w:p>
    <w:p w:rsidR="00FD4361" w:rsidRDefault="00FD4361">
      <w:pPr>
        <w:jc w:val="both"/>
        <w:rPr>
          <w:b/>
        </w:rPr>
      </w:pPr>
    </w:p>
    <w:p w:rsidR="00FD4361" w:rsidRDefault="00820E21">
      <w:pPr>
        <w:jc w:val="both"/>
      </w:pPr>
      <w:r>
        <w:rPr>
          <w:sz w:val="20"/>
          <w:szCs w:val="20"/>
        </w:rPr>
        <w:t>Outliers can be very problematic for both seasonal adjustment and forecasting. Therefore, their effects need to be accounted for in the model by specifying the specific data points at which they are believed to occur. The X-13 software also has a capability for automatic detection of outliers. However, this is particularly challenging at the end (and beginning) of the time series, as a level shift cannot be distinguished from an additive outlier. Not accounting for a level shift, for example, can lead to volatile seasonally adjusted values in the</w:t>
      </w:r>
      <w:r w:rsidR="00597A8E">
        <w:rPr>
          <w:sz w:val="20"/>
          <w:szCs w:val="20"/>
        </w:rPr>
        <w:t xml:space="preserve"> vicinity of the event (Figure 1.3.1</w:t>
      </w:r>
      <w:r>
        <w:rPr>
          <w:sz w:val="20"/>
          <w:szCs w:val="20"/>
        </w:rPr>
        <w:t>). Also, misclassifying a level shift for an outlier (or vice versa) can lead to a wrong level of the forecasts.</w:t>
      </w:r>
    </w:p>
    <w:p w:rsidR="00FD4361" w:rsidRDefault="00FD4361">
      <w:pPr>
        <w:jc w:val="both"/>
        <w:rPr>
          <w:sz w:val="20"/>
          <w:szCs w:val="20"/>
        </w:rPr>
      </w:pPr>
    </w:p>
    <w:p w:rsidR="00597A8E" w:rsidRDefault="00597A8E" w:rsidP="00597A8E">
      <w:pPr>
        <w:pStyle w:val="Caption"/>
        <w:keepNext/>
        <w:jc w:val="both"/>
        <w:rPr>
          <w:b/>
          <w:i w:val="0"/>
          <w:sz w:val="20"/>
          <w:szCs w:val="20"/>
        </w:rPr>
      </w:pPr>
      <w:proofErr w:type="gramStart"/>
      <w:r w:rsidRPr="00597A8E">
        <w:rPr>
          <w:b/>
          <w:i w:val="0"/>
          <w:sz w:val="20"/>
          <w:szCs w:val="20"/>
        </w:rPr>
        <w:t>Figure 1.3.1.</w:t>
      </w:r>
      <w:proofErr w:type="gramEnd"/>
      <w:r w:rsidRPr="00597A8E">
        <w:rPr>
          <w:b/>
          <w:i w:val="0"/>
          <w:sz w:val="20"/>
          <w:szCs w:val="20"/>
        </w:rPr>
        <w:t xml:space="preserve"> </w:t>
      </w:r>
    </w:p>
    <w:p w:rsidR="00597A8E" w:rsidRPr="00597A8E" w:rsidRDefault="00597A8E" w:rsidP="00597A8E">
      <w:pPr>
        <w:pStyle w:val="Caption"/>
        <w:keepNext/>
        <w:jc w:val="both"/>
        <w:rPr>
          <w:b/>
          <w:i w:val="0"/>
          <w:sz w:val="20"/>
          <w:szCs w:val="20"/>
        </w:rPr>
      </w:pPr>
      <w:proofErr w:type="gramStart"/>
      <w:r w:rsidRPr="00597A8E">
        <w:rPr>
          <w:b/>
          <w:i w:val="0"/>
          <w:sz w:val="20"/>
          <w:szCs w:val="20"/>
        </w:rPr>
        <w:t>Seasonal adjustment comparison with and without</w:t>
      </w:r>
      <w:r w:rsidR="008A250D">
        <w:rPr>
          <w:b/>
          <w:i w:val="0"/>
          <w:sz w:val="20"/>
          <w:szCs w:val="20"/>
        </w:rPr>
        <w:t xml:space="preserve"> a</w:t>
      </w:r>
      <w:r w:rsidRPr="00597A8E">
        <w:rPr>
          <w:b/>
          <w:i w:val="0"/>
          <w:sz w:val="20"/>
          <w:szCs w:val="20"/>
        </w:rPr>
        <w:t xml:space="preserve"> level shift correction for Public Sector Employment.</w:t>
      </w:r>
      <w:proofErr w:type="gramEnd"/>
      <w:r w:rsidRPr="00597A8E">
        <w:rPr>
          <w:b/>
          <w:i w:val="0"/>
          <w:sz w:val="20"/>
          <w:szCs w:val="20"/>
        </w:rPr>
        <w:t xml:space="preserve"> NSA = non seasonally adjusted; LS = level shift</w:t>
      </w:r>
    </w:p>
    <w:p w:rsidR="00597A8E" w:rsidRPr="00597A8E" w:rsidRDefault="00597A8E" w:rsidP="00597A8E">
      <w:pPr>
        <w:keepNext/>
        <w:jc w:val="both"/>
      </w:pPr>
      <w:r w:rsidRPr="00597A8E">
        <w:rPr>
          <w:noProof/>
          <w:sz w:val="20"/>
          <w:szCs w:val="20"/>
          <w:lang w:val="en-US" w:eastAsia="en-US"/>
        </w:rPr>
        <w:drawing>
          <wp:inline distT="0" distB="0" distL="0" distR="0">
            <wp:extent cx="5876925" cy="3190875"/>
            <wp:effectExtent l="19050" t="0" r="9525" b="0"/>
            <wp:docPr id="2" name="Picture 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pic:cNvPicPr>
                  </pic:nvPicPr>
                  <pic:blipFill>
                    <a:blip r:embed="rId7" cstate="print"/>
                    <a:srcRect l="9231" t="21974" r="8176" b="11536"/>
                    <a:stretch>
                      <a:fillRect/>
                    </a:stretch>
                  </pic:blipFill>
                  <pic:spPr bwMode="auto">
                    <a:xfrm>
                      <a:off x="0" y="0"/>
                      <a:ext cx="5876925" cy="3190875"/>
                    </a:xfrm>
                    <a:prstGeom prst="rect">
                      <a:avLst/>
                    </a:prstGeom>
                    <a:noFill/>
                    <a:ln w="9525">
                      <a:noFill/>
                      <a:miter lim="800000"/>
                      <a:headEnd/>
                      <a:tailEnd/>
                    </a:ln>
                  </pic:spPr>
                </pic:pic>
              </a:graphicData>
            </a:graphic>
          </wp:inline>
        </w:drawing>
      </w:r>
    </w:p>
    <w:p w:rsidR="00597A8E" w:rsidRDefault="00597A8E">
      <w:pPr>
        <w:jc w:val="both"/>
        <w:rPr>
          <w:sz w:val="20"/>
          <w:szCs w:val="20"/>
        </w:rPr>
      </w:pPr>
    </w:p>
    <w:p w:rsidR="00FD4361" w:rsidRDefault="00820E21">
      <w:pPr>
        <w:jc w:val="both"/>
      </w:pPr>
      <w:r>
        <w:rPr>
          <w:sz w:val="20"/>
          <w:szCs w:val="20"/>
        </w:rPr>
        <w:lastRenderedPageBreak/>
        <w:t>Ultimately, the wrong treatment of outliers, whether that is false negative or false positive, can lead to poor seasonal adjustment and forecasts, which can be detrimental for official statistics and in the context of making important decisions or informing policy.</w:t>
      </w:r>
    </w:p>
    <w:p w:rsidR="00FD4361" w:rsidRDefault="00FD4361">
      <w:pPr>
        <w:jc w:val="both"/>
        <w:rPr>
          <w:sz w:val="20"/>
          <w:szCs w:val="20"/>
        </w:rPr>
      </w:pPr>
    </w:p>
    <w:p w:rsidR="008A250D" w:rsidRDefault="008A250D">
      <w:pPr>
        <w:jc w:val="both"/>
        <w:rPr>
          <w:sz w:val="20"/>
          <w:szCs w:val="20"/>
        </w:rPr>
      </w:pPr>
    </w:p>
    <w:p w:rsidR="00FD4361" w:rsidRDefault="00FD4361">
      <w:pPr>
        <w:jc w:val="both"/>
        <w:rPr>
          <w:sz w:val="20"/>
          <w:szCs w:val="20"/>
        </w:rPr>
      </w:pPr>
    </w:p>
    <w:p w:rsidR="00FD4361" w:rsidRDefault="00820E21">
      <w:pPr>
        <w:jc w:val="center"/>
      </w:pPr>
      <w:r>
        <w:rPr>
          <w:b/>
        </w:rPr>
        <w:t>2.  The Current Study</w:t>
      </w:r>
    </w:p>
    <w:p w:rsidR="00FD4361" w:rsidRDefault="00FD4361">
      <w:pPr>
        <w:jc w:val="both"/>
      </w:pPr>
    </w:p>
    <w:p w:rsidR="00FD4361" w:rsidRDefault="00820E21">
      <w:pPr>
        <w:jc w:val="both"/>
      </w:pPr>
      <w:r>
        <w:rPr>
          <w:b/>
        </w:rPr>
        <w:t>2.1 Considered Options for Dealing with Uncertainty</w:t>
      </w:r>
    </w:p>
    <w:p w:rsidR="00FD4361" w:rsidRDefault="00FD4361">
      <w:pPr>
        <w:jc w:val="both"/>
      </w:pPr>
    </w:p>
    <w:p w:rsidR="00FD4361" w:rsidRDefault="00820E21">
      <w:pPr>
        <w:jc w:val="both"/>
      </w:pPr>
      <w:r>
        <w:rPr>
          <w:sz w:val="20"/>
          <w:szCs w:val="20"/>
        </w:rPr>
        <w:t>Six options aimed to minimise the effect of unknown shocks at the end of time series were tested. The options are applied to all future points starting at the period of uncertainty until this period if over and the true effects can be identified. The results were assessed in relation to seasonal adjustment revisions and one-step ahead forecast error. The six options were the following:</w:t>
      </w:r>
    </w:p>
    <w:p w:rsidR="003B7317" w:rsidRDefault="003B7317">
      <w:pPr>
        <w:jc w:val="both"/>
        <w:rPr>
          <w:sz w:val="20"/>
          <w:szCs w:val="20"/>
        </w:rPr>
      </w:pPr>
    </w:p>
    <w:p w:rsidR="00FD4361" w:rsidRPr="003B7317" w:rsidRDefault="00820E21" w:rsidP="003B7317">
      <w:pPr>
        <w:pStyle w:val="ListParagraph"/>
        <w:numPr>
          <w:ilvl w:val="0"/>
          <w:numId w:val="3"/>
        </w:numPr>
        <w:jc w:val="both"/>
        <w:rPr>
          <w:sz w:val="20"/>
          <w:szCs w:val="20"/>
        </w:rPr>
      </w:pPr>
      <w:r w:rsidRPr="003B7317">
        <w:rPr>
          <w:bCs/>
          <w:sz w:val="20"/>
          <w:szCs w:val="20"/>
        </w:rPr>
        <w:t>Treat all future time points as additive outliers</w:t>
      </w:r>
      <w:r w:rsidR="003B7317" w:rsidRPr="003B7317">
        <w:rPr>
          <w:bCs/>
          <w:sz w:val="20"/>
          <w:szCs w:val="20"/>
        </w:rPr>
        <w:t>.</w:t>
      </w:r>
    </w:p>
    <w:p w:rsidR="00FD4361" w:rsidRPr="003B7317" w:rsidRDefault="00820E21">
      <w:pPr>
        <w:jc w:val="both"/>
        <w:rPr>
          <w:sz w:val="20"/>
          <w:szCs w:val="20"/>
        </w:rPr>
      </w:pPr>
      <w:r w:rsidRPr="003B7317">
        <w:rPr>
          <w:sz w:val="20"/>
          <w:szCs w:val="20"/>
        </w:rPr>
        <w:t>This was the method su</w:t>
      </w:r>
      <w:r w:rsidR="001A1F55" w:rsidRPr="003B7317">
        <w:rPr>
          <w:sz w:val="20"/>
          <w:szCs w:val="20"/>
        </w:rPr>
        <w:t xml:space="preserve">ggested by Kirchner &amp; </w:t>
      </w:r>
      <w:proofErr w:type="spellStart"/>
      <w:r w:rsidR="001A1F55" w:rsidRPr="003B7317">
        <w:rPr>
          <w:sz w:val="20"/>
          <w:szCs w:val="20"/>
        </w:rPr>
        <w:t>Mehrhoff</w:t>
      </w:r>
      <w:proofErr w:type="spellEnd"/>
      <w:r w:rsidR="001A1F55" w:rsidRPr="003B7317">
        <w:rPr>
          <w:sz w:val="20"/>
          <w:szCs w:val="20"/>
        </w:rPr>
        <w:t xml:space="preserve"> </w:t>
      </w:r>
      <w:r w:rsidRPr="003B7317">
        <w:rPr>
          <w:sz w:val="20"/>
          <w:szCs w:val="20"/>
        </w:rPr>
        <w:t>(2012). It will be beneficial for capturing true outliers and can also account for the effect of level shifts and ramps in the case of seasonal adjustment. However, misclassifying can be damaging for forecasts.</w:t>
      </w:r>
    </w:p>
    <w:p w:rsidR="00FD4361" w:rsidRPr="003B7317" w:rsidRDefault="00FD4361">
      <w:pPr>
        <w:jc w:val="both"/>
        <w:rPr>
          <w:sz w:val="20"/>
          <w:szCs w:val="20"/>
        </w:rPr>
      </w:pPr>
    </w:p>
    <w:p w:rsidR="00FD4361" w:rsidRPr="003B7317" w:rsidRDefault="00820E21" w:rsidP="003B7317">
      <w:pPr>
        <w:pStyle w:val="ListParagraph"/>
        <w:numPr>
          <w:ilvl w:val="0"/>
          <w:numId w:val="2"/>
        </w:numPr>
        <w:jc w:val="both"/>
        <w:rPr>
          <w:bCs/>
          <w:sz w:val="20"/>
          <w:szCs w:val="20"/>
        </w:rPr>
      </w:pPr>
      <w:r w:rsidRPr="003B7317">
        <w:rPr>
          <w:bCs/>
          <w:sz w:val="20"/>
          <w:szCs w:val="20"/>
        </w:rPr>
        <w:t>Treat all future points as level shifts.</w:t>
      </w:r>
    </w:p>
    <w:p w:rsidR="00FD4361" w:rsidRPr="003B7317" w:rsidRDefault="00820E21">
      <w:pPr>
        <w:jc w:val="both"/>
        <w:rPr>
          <w:sz w:val="20"/>
          <w:szCs w:val="20"/>
        </w:rPr>
      </w:pPr>
      <w:proofErr w:type="gramStart"/>
      <w:r w:rsidRPr="003B7317">
        <w:rPr>
          <w:sz w:val="20"/>
          <w:szCs w:val="20"/>
        </w:rPr>
        <w:t>Same principle as additive outliers.</w:t>
      </w:r>
      <w:proofErr w:type="gramEnd"/>
      <w:r w:rsidRPr="003B7317">
        <w:rPr>
          <w:sz w:val="20"/>
          <w:szCs w:val="20"/>
        </w:rPr>
        <w:t xml:space="preserve"> Misclassifying can lead to erroneous level of forecasts.</w:t>
      </w:r>
    </w:p>
    <w:p w:rsidR="003B7317" w:rsidRPr="003B7317" w:rsidRDefault="003B7317">
      <w:pPr>
        <w:jc w:val="both"/>
        <w:rPr>
          <w:sz w:val="20"/>
          <w:szCs w:val="20"/>
        </w:rPr>
      </w:pPr>
    </w:p>
    <w:p w:rsidR="00FD4361" w:rsidRPr="003B7317" w:rsidRDefault="00820E21" w:rsidP="003B7317">
      <w:pPr>
        <w:pStyle w:val="ListParagraph"/>
        <w:numPr>
          <w:ilvl w:val="0"/>
          <w:numId w:val="2"/>
        </w:numPr>
        <w:jc w:val="both"/>
        <w:rPr>
          <w:bCs/>
          <w:sz w:val="20"/>
          <w:szCs w:val="20"/>
        </w:rPr>
      </w:pPr>
      <w:r w:rsidRPr="003B7317">
        <w:rPr>
          <w:bCs/>
          <w:sz w:val="20"/>
          <w:szCs w:val="20"/>
        </w:rPr>
        <w:t>Use automatic outlier and level shift detection for all future observations.</w:t>
      </w:r>
    </w:p>
    <w:p w:rsidR="00FD4361" w:rsidRPr="003B7317" w:rsidRDefault="00820E21">
      <w:pPr>
        <w:jc w:val="both"/>
        <w:rPr>
          <w:sz w:val="20"/>
          <w:szCs w:val="20"/>
        </w:rPr>
      </w:pPr>
      <w:proofErr w:type="gramStart"/>
      <w:r w:rsidRPr="003B7317">
        <w:rPr>
          <w:sz w:val="20"/>
          <w:szCs w:val="20"/>
        </w:rPr>
        <w:t>Using the capability of X-13ARIMA-SEATS.</w:t>
      </w:r>
      <w:proofErr w:type="gramEnd"/>
      <w:r w:rsidRPr="003B7317">
        <w:rPr>
          <w:sz w:val="20"/>
          <w:szCs w:val="20"/>
        </w:rPr>
        <w:t xml:space="preserve"> This can lead to fewer misclassifications, but as new data comes the type of past outliers can change and lead to unstable seasonal adjustment.</w:t>
      </w:r>
    </w:p>
    <w:p w:rsidR="00FD4361" w:rsidRPr="003B7317" w:rsidRDefault="00FD4361">
      <w:pPr>
        <w:jc w:val="both"/>
        <w:rPr>
          <w:sz w:val="20"/>
          <w:szCs w:val="20"/>
        </w:rPr>
      </w:pPr>
    </w:p>
    <w:p w:rsidR="00FD4361" w:rsidRPr="003B7317" w:rsidRDefault="00820E21" w:rsidP="003B7317">
      <w:pPr>
        <w:pStyle w:val="ListParagraph"/>
        <w:numPr>
          <w:ilvl w:val="0"/>
          <w:numId w:val="2"/>
        </w:numPr>
        <w:jc w:val="both"/>
        <w:rPr>
          <w:bCs/>
          <w:sz w:val="20"/>
          <w:szCs w:val="20"/>
        </w:rPr>
      </w:pPr>
      <w:r w:rsidRPr="003B7317">
        <w:rPr>
          <w:bCs/>
          <w:sz w:val="20"/>
          <w:szCs w:val="20"/>
        </w:rPr>
        <w:t>Shorten the trend filter by a magnitude of 2.</w:t>
      </w:r>
    </w:p>
    <w:p w:rsidR="00FD4361" w:rsidRDefault="00820E21">
      <w:pPr>
        <w:jc w:val="both"/>
        <w:rPr>
          <w:sz w:val="20"/>
          <w:szCs w:val="20"/>
        </w:rPr>
      </w:pPr>
      <w:r w:rsidRPr="003B7317">
        <w:rPr>
          <w:sz w:val="20"/>
          <w:szCs w:val="20"/>
        </w:rPr>
        <w:t>The trend filter is a special case of moving average applied as part of the X-11 algorithm and it only matters for seasonal adjustment. Shorter filter can be expected to make the trend more sensitive to turning points and outliers.</w:t>
      </w:r>
    </w:p>
    <w:p w:rsidR="003B7317" w:rsidRPr="003B7317" w:rsidRDefault="003B7317">
      <w:pPr>
        <w:jc w:val="both"/>
        <w:rPr>
          <w:sz w:val="20"/>
          <w:szCs w:val="20"/>
        </w:rPr>
      </w:pPr>
    </w:p>
    <w:p w:rsidR="00FD4361" w:rsidRPr="003B7317" w:rsidRDefault="00820E21" w:rsidP="003B7317">
      <w:pPr>
        <w:pStyle w:val="ListParagraph"/>
        <w:numPr>
          <w:ilvl w:val="0"/>
          <w:numId w:val="2"/>
        </w:numPr>
        <w:jc w:val="both"/>
        <w:rPr>
          <w:bCs/>
          <w:sz w:val="20"/>
          <w:szCs w:val="20"/>
        </w:rPr>
      </w:pPr>
      <w:r w:rsidRPr="003B7317">
        <w:rPr>
          <w:bCs/>
          <w:sz w:val="20"/>
          <w:szCs w:val="20"/>
        </w:rPr>
        <w:t>Lengthen the trend filter by a magnitude of 2.</w:t>
      </w:r>
    </w:p>
    <w:p w:rsidR="00FD4361" w:rsidRPr="003B7317" w:rsidRDefault="00820E21">
      <w:pPr>
        <w:jc w:val="both"/>
        <w:rPr>
          <w:sz w:val="20"/>
          <w:szCs w:val="20"/>
        </w:rPr>
      </w:pPr>
      <w:r w:rsidRPr="003B7317">
        <w:rPr>
          <w:sz w:val="20"/>
          <w:szCs w:val="20"/>
        </w:rPr>
        <w:t xml:space="preserve">A longer filter may be expected to produce </w:t>
      </w:r>
      <w:r w:rsidR="008A250D">
        <w:rPr>
          <w:sz w:val="20"/>
          <w:szCs w:val="20"/>
        </w:rPr>
        <w:t xml:space="preserve">a </w:t>
      </w:r>
      <w:r w:rsidRPr="003B7317">
        <w:rPr>
          <w:sz w:val="20"/>
          <w:szCs w:val="20"/>
        </w:rPr>
        <w:t>smoother trend that is less affected by outliers.</w:t>
      </w:r>
    </w:p>
    <w:p w:rsidR="00FD4361" w:rsidRPr="003B7317" w:rsidRDefault="00FD4361">
      <w:pPr>
        <w:jc w:val="both"/>
        <w:rPr>
          <w:sz w:val="20"/>
          <w:szCs w:val="20"/>
        </w:rPr>
      </w:pPr>
    </w:p>
    <w:p w:rsidR="00FD4361" w:rsidRPr="003B7317" w:rsidRDefault="00820E21" w:rsidP="003B7317">
      <w:pPr>
        <w:pStyle w:val="ListParagraph"/>
        <w:numPr>
          <w:ilvl w:val="0"/>
          <w:numId w:val="2"/>
        </w:numPr>
        <w:jc w:val="both"/>
        <w:rPr>
          <w:bCs/>
          <w:sz w:val="20"/>
          <w:szCs w:val="20"/>
        </w:rPr>
      </w:pPr>
      <w:r w:rsidRPr="003B7317">
        <w:rPr>
          <w:bCs/>
          <w:sz w:val="20"/>
          <w:szCs w:val="20"/>
        </w:rPr>
        <w:t>No intervention.</w:t>
      </w:r>
    </w:p>
    <w:p w:rsidR="00FD4361" w:rsidRDefault="00820E21">
      <w:pPr>
        <w:jc w:val="both"/>
      </w:pPr>
      <w:r>
        <w:rPr>
          <w:sz w:val="20"/>
          <w:szCs w:val="20"/>
        </w:rPr>
        <w:t xml:space="preserve">This will spare unnecessary revisions due to </w:t>
      </w:r>
      <w:proofErr w:type="spellStart"/>
      <w:r>
        <w:rPr>
          <w:sz w:val="20"/>
          <w:szCs w:val="20"/>
        </w:rPr>
        <w:t>mis</w:t>
      </w:r>
      <w:proofErr w:type="spellEnd"/>
      <w:r>
        <w:rPr>
          <w:sz w:val="20"/>
          <w:szCs w:val="20"/>
        </w:rPr>
        <w:t xml:space="preserve">-specifications or </w:t>
      </w:r>
      <w:proofErr w:type="spellStart"/>
      <w:r>
        <w:rPr>
          <w:sz w:val="20"/>
          <w:szCs w:val="20"/>
        </w:rPr>
        <w:t>overfitting</w:t>
      </w:r>
      <w:proofErr w:type="spellEnd"/>
      <w:r>
        <w:rPr>
          <w:sz w:val="20"/>
          <w:szCs w:val="20"/>
        </w:rPr>
        <w:t>, but it will fail to account for any shocks to the time series.</w:t>
      </w:r>
    </w:p>
    <w:p w:rsidR="00FD4361" w:rsidRDefault="00FD4361">
      <w:pPr>
        <w:pStyle w:val="BodyText"/>
      </w:pPr>
    </w:p>
    <w:p w:rsidR="00FD4361" w:rsidRDefault="00820E21">
      <w:pPr>
        <w:jc w:val="both"/>
      </w:pPr>
      <w:r>
        <w:rPr>
          <w:b/>
        </w:rPr>
        <w:t>2.2 Data and Method</w:t>
      </w:r>
    </w:p>
    <w:p w:rsidR="00FD4361" w:rsidRDefault="00FD4361">
      <w:pPr>
        <w:jc w:val="both"/>
      </w:pPr>
    </w:p>
    <w:p w:rsidR="00FD4361" w:rsidRDefault="00820E21">
      <w:pPr>
        <w:jc w:val="both"/>
      </w:pPr>
      <w:r>
        <w:rPr>
          <w:sz w:val="20"/>
          <w:szCs w:val="20"/>
        </w:rPr>
        <w:t xml:space="preserve">Seasonal monthly series were used from Index of Production, Index of Services, and Trade in Goods. The data were grouped into series that exhibit the following effects anywhere in 2008: additive outliers (28 series), level shifts (50 series), ramps (18 series), seasonal breaks (4 series), </w:t>
      </w:r>
      <w:proofErr w:type="gramStart"/>
      <w:r>
        <w:rPr>
          <w:sz w:val="20"/>
          <w:szCs w:val="20"/>
        </w:rPr>
        <w:t>no</w:t>
      </w:r>
      <w:proofErr w:type="gramEnd"/>
      <w:r>
        <w:rPr>
          <w:sz w:val="20"/>
          <w:szCs w:val="20"/>
        </w:rPr>
        <w:t xml:space="preserve"> effects (586 series). Each of the six interventions </w:t>
      </w:r>
      <w:proofErr w:type="gramStart"/>
      <w:r>
        <w:rPr>
          <w:sz w:val="20"/>
          <w:szCs w:val="20"/>
        </w:rPr>
        <w:t>were</w:t>
      </w:r>
      <w:proofErr w:type="gramEnd"/>
      <w:r>
        <w:rPr>
          <w:sz w:val="20"/>
          <w:szCs w:val="20"/>
        </w:rPr>
        <w:t xml:space="preserve"> applied on all series, starting from January 2008 until December 2009. That is, one data point was added at a time and seasonal adjustment and one-step ahead forecasting performed each time. Each series was cleaned from any effects other than the one associated to the group it belonged to for 2008, so it only exhibited the relevant effect in 2008 and no other shocks were present.</w:t>
      </w:r>
    </w:p>
    <w:p w:rsidR="00FD4361" w:rsidRDefault="00FD4361">
      <w:pPr>
        <w:jc w:val="both"/>
        <w:rPr>
          <w:sz w:val="20"/>
          <w:szCs w:val="20"/>
        </w:rPr>
      </w:pPr>
    </w:p>
    <w:p w:rsidR="00FD4361" w:rsidRDefault="00820E21">
      <w:pPr>
        <w:jc w:val="both"/>
      </w:pPr>
      <w:r>
        <w:rPr>
          <w:sz w:val="20"/>
          <w:szCs w:val="20"/>
        </w:rPr>
        <w:t xml:space="preserve">Absolute percentage one-step ahead forecast error as new data points were added until December 2009 was averaged across each series as a function of each group (actual effect exhibited). First-to-final absolute revisions to the seasonally adjusted values were calculated using the formula: </w:t>
      </w:r>
      <w:proofErr w:type="spellStart"/>
      <w:r>
        <w:rPr>
          <w:sz w:val="20"/>
          <w:szCs w:val="20"/>
        </w:rPr>
        <w:t>R</w:t>
      </w:r>
      <w:r>
        <w:rPr>
          <w:sz w:val="20"/>
          <w:szCs w:val="20"/>
          <w:vertAlign w:val="subscript"/>
        </w:rPr>
        <w:t>t</w:t>
      </w:r>
      <w:proofErr w:type="spellEnd"/>
      <w:r>
        <w:rPr>
          <w:sz w:val="20"/>
          <w:szCs w:val="20"/>
        </w:rPr>
        <w:t xml:space="preserve"> = (</w:t>
      </w:r>
      <w:proofErr w:type="spellStart"/>
      <w:r>
        <w:rPr>
          <w:sz w:val="20"/>
          <w:szCs w:val="20"/>
        </w:rPr>
        <w:t>SA</w:t>
      </w:r>
      <w:r>
        <w:rPr>
          <w:sz w:val="20"/>
          <w:szCs w:val="20"/>
          <w:vertAlign w:val="subscript"/>
        </w:rPr>
        <w:t>t</w:t>
      </w:r>
      <w:r>
        <w:rPr>
          <w:sz w:val="20"/>
          <w:szCs w:val="20"/>
        </w:rPr>
        <w:t>|</w:t>
      </w:r>
      <w:r>
        <w:rPr>
          <w:sz w:val="20"/>
          <w:szCs w:val="20"/>
          <w:vertAlign w:val="subscript"/>
        </w:rPr>
        <w:t>T</w:t>
      </w:r>
      <w:proofErr w:type="spellEnd"/>
      <w:r>
        <w:rPr>
          <w:sz w:val="20"/>
          <w:szCs w:val="20"/>
        </w:rPr>
        <w:t xml:space="preserve"> - (</w:t>
      </w:r>
      <w:bookmarkStart w:id="0" w:name="__DdeLink__1124_2100490661"/>
      <w:proofErr w:type="spellStart"/>
      <w:r>
        <w:rPr>
          <w:sz w:val="20"/>
          <w:szCs w:val="20"/>
        </w:rPr>
        <w:t>SA</w:t>
      </w:r>
      <w:r>
        <w:rPr>
          <w:sz w:val="20"/>
          <w:szCs w:val="20"/>
          <w:vertAlign w:val="subscript"/>
        </w:rPr>
        <w:t>t</w:t>
      </w:r>
      <w:r>
        <w:rPr>
          <w:color w:val="1C1C1C"/>
          <w:sz w:val="20"/>
          <w:szCs w:val="20"/>
          <w:vertAlign w:val="subscript"/>
        </w:rPr>
        <w:t>|t</w:t>
      </w:r>
      <w:bookmarkEnd w:id="0"/>
      <w:proofErr w:type="spellEnd"/>
      <w:r>
        <w:rPr>
          <w:sz w:val="20"/>
          <w:szCs w:val="20"/>
        </w:rPr>
        <w:t xml:space="preserve">) / </w:t>
      </w:r>
      <w:proofErr w:type="spellStart"/>
      <w:r>
        <w:rPr>
          <w:sz w:val="20"/>
          <w:szCs w:val="20"/>
        </w:rPr>
        <w:t>SA</w:t>
      </w:r>
      <w:r>
        <w:rPr>
          <w:color w:val="1C1C1C"/>
          <w:sz w:val="20"/>
          <w:szCs w:val="20"/>
          <w:vertAlign w:val="subscript"/>
        </w:rPr>
        <w:t>t</w:t>
      </w:r>
      <w:r>
        <w:rPr>
          <w:color w:val="1C1C1C"/>
          <w:sz w:val="20"/>
          <w:szCs w:val="20"/>
        </w:rPr>
        <w:t>|</w:t>
      </w:r>
      <w:proofErr w:type="gramStart"/>
      <w:r>
        <w:rPr>
          <w:color w:val="1C1C1C"/>
          <w:sz w:val="20"/>
          <w:szCs w:val="20"/>
          <w:vertAlign w:val="subscript"/>
        </w:rPr>
        <w:t>t</w:t>
      </w:r>
      <w:proofErr w:type="spellEnd"/>
      <w:r>
        <w:rPr>
          <w:color w:val="1C1C1C"/>
          <w:sz w:val="20"/>
          <w:szCs w:val="20"/>
          <w:vertAlign w:val="subscript"/>
        </w:rPr>
        <w:t xml:space="preserve"> </w:t>
      </w:r>
      <w:r>
        <w:rPr>
          <w:color w:val="1C1C1C"/>
          <w:sz w:val="20"/>
          <w:szCs w:val="20"/>
        </w:rPr>
        <w:t>,</w:t>
      </w:r>
      <w:proofErr w:type="gramEnd"/>
      <w:r>
        <w:rPr>
          <w:color w:val="1C1C1C"/>
          <w:sz w:val="20"/>
          <w:szCs w:val="20"/>
        </w:rPr>
        <w:t xml:space="preserve"> where </w:t>
      </w:r>
      <w:proofErr w:type="spellStart"/>
      <w:r>
        <w:rPr>
          <w:color w:val="1C1C1C"/>
          <w:sz w:val="20"/>
          <w:szCs w:val="20"/>
        </w:rPr>
        <w:t>SA</w:t>
      </w:r>
      <w:r>
        <w:rPr>
          <w:color w:val="1C1C1C"/>
          <w:sz w:val="20"/>
          <w:szCs w:val="20"/>
          <w:vertAlign w:val="subscript"/>
        </w:rPr>
        <w:t>t</w:t>
      </w:r>
      <w:r>
        <w:rPr>
          <w:color w:val="1C1C1C"/>
          <w:sz w:val="20"/>
          <w:szCs w:val="20"/>
        </w:rPr>
        <w:t>|</w:t>
      </w:r>
      <w:r>
        <w:rPr>
          <w:color w:val="1C1C1C"/>
          <w:sz w:val="20"/>
          <w:szCs w:val="20"/>
          <w:vertAlign w:val="subscript"/>
        </w:rPr>
        <w:t>T</w:t>
      </w:r>
      <w:proofErr w:type="spellEnd"/>
      <w:r>
        <w:rPr>
          <w:color w:val="1C1C1C"/>
          <w:sz w:val="20"/>
          <w:szCs w:val="20"/>
        </w:rPr>
        <w:t xml:space="preserve"> is the seasonally adjusted value for point </w:t>
      </w:r>
      <w:r>
        <w:rPr>
          <w:i/>
          <w:iCs/>
          <w:color w:val="1C1C1C"/>
          <w:sz w:val="20"/>
          <w:szCs w:val="20"/>
        </w:rPr>
        <w:t>t</w:t>
      </w:r>
      <w:r>
        <w:rPr>
          <w:color w:val="1C1C1C"/>
          <w:sz w:val="20"/>
          <w:szCs w:val="20"/>
        </w:rPr>
        <w:t xml:space="preserve"> given the full span of the data up to </w:t>
      </w:r>
      <w:r>
        <w:rPr>
          <w:i/>
          <w:iCs/>
          <w:color w:val="1C1C1C"/>
          <w:sz w:val="20"/>
          <w:szCs w:val="20"/>
        </w:rPr>
        <w:t>T</w:t>
      </w:r>
      <w:r>
        <w:rPr>
          <w:color w:val="1C1C1C"/>
          <w:sz w:val="20"/>
          <w:szCs w:val="20"/>
        </w:rPr>
        <w:t xml:space="preserve">, and </w:t>
      </w:r>
      <w:proofErr w:type="spellStart"/>
      <w:r>
        <w:rPr>
          <w:color w:val="1C1C1C"/>
          <w:sz w:val="20"/>
          <w:szCs w:val="20"/>
        </w:rPr>
        <w:t>SA</w:t>
      </w:r>
      <w:r>
        <w:rPr>
          <w:color w:val="1C1C1C"/>
          <w:sz w:val="20"/>
          <w:szCs w:val="20"/>
          <w:vertAlign w:val="subscript"/>
        </w:rPr>
        <w:t>t|t</w:t>
      </w:r>
      <w:proofErr w:type="spellEnd"/>
      <w:r>
        <w:rPr>
          <w:color w:val="1C1C1C"/>
          <w:sz w:val="20"/>
          <w:szCs w:val="20"/>
        </w:rPr>
        <w:t xml:space="preserve"> is the concurrent seasonally adjusted value of the reduced span with </w:t>
      </w:r>
      <w:r>
        <w:rPr>
          <w:i/>
          <w:iCs/>
          <w:color w:val="1C1C1C"/>
          <w:sz w:val="20"/>
          <w:szCs w:val="20"/>
        </w:rPr>
        <w:t>t</w:t>
      </w:r>
      <w:r>
        <w:rPr>
          <w:color w:val="1C1C1C"/>
          <w:sz w:val="20"/>
          <w:szCs w:val="20"/>
        </w:rPr>
        <w:t xml:space="preserve"> being the latest data point. Again, these values were averaged across all </w:t>
      </w:r>
      <w:r>
        <w:rPr>
          <w:color w:val="1C1C1C"/>
          <w:sz w:val="20"/>
          <w:szCs w:val="20"/>
        </w:rPr>
        <w:lastRenderedPageBreak/>
        <w:t>series as a function of the actual affect exhibited in 2008 and the applied intervention. The filter intervention only applied to seasonal adjustment revisions as it makes no difference for forecast errors.</w:t>
      </w:r>
    </w:p>
    <w:p w:rsidR="00FD4361" w:rsidRDefault="00FD4361">
      <w:pPr>
        <w:jc w:val="both"/>
        <w:rPr>
          <w:b/>
        </w:rPr>
      </w:pPr>
    </w:p>
    <w:p w:rsidR="008A250D" w:rsidRDefault="008A250D">
      <w:pPr>
        <w:jc w:val="both"/>
        <w:rPr>
          <w:b/>
        </w:rPr>
      </w:pPr>
    </w:p>
    <w:p w:rsidR="00FD4361" w:rsidRDefault="00820E21">
      <w:pPr>
        <w:jc w:val="center"/>
      </w:pPr>
      <w:r>
        <w:rPr>
          <w:b/>
        </w:rPr>
        <w:br/>
        <w:t>3. Results</w:t>
      </w:r>
    </w:p>
    <w:p w:rsidR="00FD4361" w:rsidRDefault="00FD4361">
      <w:pPr>
        <w:jc w:val="both"/>
      </w:pPr>
    </w:p>
    <w:p w:rsidR="00FD4361" w:rsidRDefault="00820E21">
      <w:pPr>
        <w:jc w:val="both"/>
      </w:pPr>
      <w:r>
        <w:rPr>
          <w:b/>
        </w:rPr>
        <w:t>3.1 Forecast Error</w:t>
      </w:r>
    </w:p>
    <w:p w:rsidR="00FD4361" w:rsidRDefault="00FD4361">
      <w:pPr>
        <w:jc w:val="both"/>
      </w:pPr>
    </w:p>
    <w:p w:rsidR="00FD4361" w:rsidRDefault="00675859">
      <w:pPr>
        <w:jc w:val="both"/>
        <w:rPr>
          <w:sz w:val="20"/>
          <w:szCs w:val="20"/>
        </w:rPr>
      </w:pPr>
      <w:r>
        <w:rPr>
          <w:sz w:val="20"/>
          <w:szCs w:val="20"/>
        </w:rPr>
        <w:t>Table 3.1.1</w:t>
      </w:r>
      <w:r w:rsidR="00820E21">
        <w:rPr>
          <w:sz w:val="20"/>
          <w:szCs w:val="20"/>
        </w:rPr>
        <w:t xml:space="preserve"> represents t</w:t>
      </w:r>
      <w:r>
        <w:rPr>
          <w:sz w:val="20"/>
          <w:szCs w:val="20"/>
        </w:rPr>
        <w:t>he mean and median</w:t>
      </w:r>
      <w:r w:rsidR="00820E21">
        <w:rPr>
          <w:sz w:val="20"/>
          <w:szCs w:val="20"/>
        </w:rPr>
        <w:t xml:space="preserve"> one-step ahead forecast error for each group of series as a function of intervention type. Median is also presented as the data was not normally distributed. The results suggest that when a series exhibited a level shift, the best intervention was fitting level shift</w:t>
      </w:r>
      <w:r w:rsidR="001A1F55">
        <w:rPr>
          <w:sz w:val="20"/>
          <w:szCs w:val="20"/>
        </w:rPr>
        <w:t>s to all data points, or not ma</w:t>
      </w:r>
      <w:r w:rsidR="00820E21">
        <w:rPr>
          <w:sz w:val="20"/>
          <w:szCs w:val="20"/>
        </w:rPr>
        <w:t>king any adjustments. For series with additive outliers, the best intervention was to use automatic outlier detection provided by the software, and for series with ramps, adjustment for level shifts was the favoured option. Finally, no intervention resulted in lowest forecast errors when the series had a seasonal break or no outliers at all. The differences between the interventions are not always large, but overall it appears that using automatic detection or not performing any intervention are the best outcomes for forecasting.</w:t>
      </w:r>
    </w:p>
    <w:p w:rsidR="00227B5A" w:rsidRDefault="00227B5A">
      <w:pPr>
        <w:jc w:val="both"/>
        <w:rPr>
          <w:sz w:val="20"/>
          <w:szCs w:val="20"/>
        </w:rPr>
      </w:pPr>
    </w:p>
    <w:p w:rsidR="00675859" w:rsidRDefault="00675859">
      <w:pPr>
        <w:jc w:val="both"/>
        <w:rPr>
          <w:sz w:val="20"/>
          <w:szCs w:val="20"/>
        </w:rPr>
      </w:pPr>
    </w:p>
    <w:p w:rsidR="00675859" w:rsidRDefault="00675859">
      <w:pPr>
        <w:jc w:val="both"/>
        <w:rPr>
          <w:sz w:val="20"/>
          <w:szCs w:val="20"/>
        </w:rPr>
      </w:pPr>
    </w:p>
    <w:p w:rsidR="00675859" w:rsidRDefault="00675859">
      <w:pPr>
        <w:jc w:val="both"/>
        <w:rPr>
          <w:sz w:val="20"/>
          <w:szCs w:val="20"/>
        </w:rPr>
      </w:pPr>
    </w:p>
    <w:p w:rsidR="00675859" w:rsidRDefault="00675859">
      <w:pPr>
        <w:jc w:val="both"/>
        <w:rPr>
          <w:sz w:val="20"/>
          <w:szCs w:val="20"/>
        </w:rPr>
      </w:pPr>
    </w:p>
    <w:p w:rsidR="00675859" w:rsidRDefault="00675859" w:rsidP="00675859">
      <w:pPr>
        <w:pStyle w:val="Caption"/>
        <w:keepNext/>
        <w:rPr>
          <w:b/>
          <w:i w:val="0"/>
          <w:sz w:val="20"/>
          <w:szCs w:val="20"/>
        </w:rPr>
      </w:pPr>
      <w:r w:rsidRPr="00675859">
        <w:rPr>
          <w:b/>
          <w:i w:val="0"/>
          <w:sz w:val="20"/>
          <w:szCs w:val="20"/>
        </w:rPr>
        <w:t>Table 3.1.1</w:t>
      </w:r>
    </w:p>
    <w:p w:rsidR="00675859" w:rsidRPr="00675859" w:rsidRDefault="00675859" w:rsidP="00675859">
      <w:pPr>
        <w:pStyle w:val="Caption"/>
        <w:keepNext/>
        <w:rPr>
          <w:b/>
          <w:i w:val="0"/>
          <w:sz w:val="20"/>
          <w:szCs w:val="20"/>
        </w:rPr>
      </w:pPr>
      <w:r w:rsidRPr="00675859">
        <w:rPr>
          <w:b/>
          <w:i w:val="0"/>
          <w:color w:val="auto"/>
          <w:sz w:val="20"/>
        </w:rPr>
        <w:t>Mean and median (in parenthesis)</w:t>
      </w:r>
      <w:r>
        <w:rPr>
          <w:b/>
          <w:i w:val="0"/>
          <w:color w:val="auto"/>
          <w:sz w:val="20"/>
        </w:rPr>
        <w:t xml:space="preserve"> one-step </w:t>
      </w:r>
      <w:r w:rsidRPr="00675859">
        <w:rPr>
          <w:b/>
          <w:i w:val="0"/>
          <w:color w:val="auto"/>
          <w:sz w:val="20"/>
        </w:rPr>
        <w:t>ahead forecast error</w:t>
      </w:r>
      <w:r w:rsidR="00F679A0">
        <w:rPr>
          <w:b/>
          <w:i w:val="0"/>
          <w:color w:val="auto"/>
          <w:sz w:val="20"/>
        </w:rPr>
        <w:t xml:space="preserve"> </w:t>
      </w:r>
      <w:r w:rsidR="00F679A0" w:rsidRPr="00F679A0">
        <w:rPr>
          <w:b/>
          <w:i w:val="0"/>
          <w:sz w:val="20"/>
          <w:szCs w:val="20"/>
        </w:rPr>
        <w:t>(January 2008 to December 2009)</w:t>
      </w:r>
      <w:r>
        <w:rPr>
          <w:b/>
          <w:i w:val="0"/>
          <w:color w:val="auto"/>
          <w:sz w:val="20"/>
        </w:rPr>
        <w:t>. Values in bold indicate the lowest errors.</w:t>
      </w:r>
    </w:p>
    <w:tbl>
      <w:tblPr>
        <w:tblW w:w="83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1206"/>
        <w:gridCol w:w="1147"/>
        <w:gridCol w:w="1267"/>
        <w:gridCol w:w="1186"/>
        <w:gridCol w:w="1186"/>
      </w:tblGrid>
      <w:tr w:rsidR="00227B5A" w:rsidRPr="00675859" w:rsidTr="00227B5A">
        <w:trPr>
          <w:trHeight w:val="300"/>
        </w:trPr>
        <w:tc>
          <w:tcPr>
            <w:tcW w:w="2340" w:type="dxa"/>
            <w:vMerge w:val="restart"/>
            <w:shd w:val="clear" w:color="auto" w:fill="auto"/>
            <w:noWrap/>
            <w:vAlign w:val="bottom"/>
            <w:hideMark/>
          </w:tcPr>
          <w:p w:rsidR="00227B5A" w:rsidRPr="00675859" w:rsidRDefault="00227B5A" w:rsidP="00F679A0">
            <w:pPr>
              <w:jc w:val="center"/>
              <w:rPr>
                <w:color w:val="auto"/>
                <w:sz w:val="20"/>
                <w:szCs w:val="20"/>
                <w:lang w:eastAsia="en-GB"/>
              </w:rPr>
            </w:pPr>
            <w:r w:rsidRPr="00675859">
              <w:rPr>
                <w:color w:val="auto"/>
                <w:sz w:val="20"/>
                <w:szCs w:val="20"/>
                <w:lang w:eastAsia="en-GB"/>
              </w:rPr>
              <w:t>Intervention type</w:t>
            </w:r>
          </w:p>
        </w:tc>
        <w:tc>
          <w:tcPr>
            <w:tcW w:w="5992" w:type="dxa"/>
            <w:gridSpan w:val="5"/>
            <w:shd w:val="clear" w:color="auto" w:fill="auto"/>
            <w:noWrap/>
            <w:vAlign w:val="bottom"/>
            <w:hideMark/>
          </w:tcPr>
          <w:p w:rsidR="00227B5A" w:rsidRPr="00675859" w:rsidRDefault="00227B5A" w:rsidP="00F679A0">
            <w:pPr>
              <w:jc w:val="center"/>
              <w:rPr>
                <w:color w:val="auto"/>
                <w:sz w:val="20"/>
                <w:szCs w:val="20"/>
                <w:lang w:eastAsia="en-GB"/>
              </w:rPr>
            </w:pPr>
            <w:r w:rsidRPr="00675859">
              <w:rPr>
                <w:color w:val="auto"/>
                <w:sz w:val="20"/>
                <w:szCs w:val="20"/>
                <w:lang w:eastAsia="en-GB"/>
              </w:rPr>
              <w:t>Actual effect present in series</w:t>
            </w:r>
          </w:p>
        </w:tc>
      </w:tr>
      <w:tr w:rsidR="00227B5A" w:rsidRPr="00675859" w:rsidTr="00675859">
        <w:trPr>
          <w:trHeight w:val="300"/>
        </w:trPr>
        <w:tc>
          <w:tcPr>
            <w:tcW w:w="2340" w:type="dxa"/>
            <w:vMerge/>
            <w:shd w:val="clear" w:color="auto" w:fill="auto"/>
            <w:noWrap/>
            <w:vAlign w:val="bottom"/>
            <w:hideMark/>
          </w:tcPr>
          <w:p w:rsidR="00227B5A" w:rsidRPr="00675859" w:rsidRDefault="00227B5A" w:rsidP="00673DCC">
            <w:pPr>
              <w:rPr>
                <w:color w:val="auto"/>
                <w:sz w:val="20"/>
                <w:szCs w:val="20"/>
                <w:lang w:eastAsia="en-GB"/>
              </w:rPr>
            </w:pPr>
          </w:p>
        </w:tc>
        <w:tc>
          <w:tcPr>
            <w:tcW w:w="1206" w:type="dxa"/>
            <w:shd w:val="clear" w:color="auto" w:fill="auto"/>
            <w:noWrap/>
            <w:vAlign w:val="bottom"/>
            <w:hideMark/>
          </w:tcPr>
          <w:p w:rsidR="00227B5A" w:rsidRPr="00675859" w:rsidRDefault="00227B5A" w:rsidP="00673DCC">
            <w:pPr>
              <w:rPr>
                <w:color w:val="auto"/>
                <w:sz w:val="20"/>
                <w:szCs w:val="20"/>
                <w:lang w:eastAsia="en-GB"/>
              </w:rPr>
            </w:pPr>
            <w:r w:rsidRPr="00675859">
              <w:rPr>
                <w:color w:val="auto"/>
                <w:sz w:val="20"/>
                <w:szCs w:val="20"/>
                <w:lang w:eastAsia="en-GB"/>
              </w:rPr>
              <w:t>Level shift (N=50)</w:t>
            </w:r>
          </w:p>
        </w:tc>
        <w:tc>
          <w:tcPr>
            <w:tcW w:w="1147" w:type="dxa"/>
            <w:shd w:val="clear" w:color="auto" w:fill="auto"/>
            <w:noWrap/>
            <w:vAlign w:val="bottom"/>
            <w:hideMark/>
          </w:tcPr>
          <w:p w:rsidR="00227B5A" w:rsidRPr="00675859" w:rsidRDefault="00227B5A" w:rsidP="00673DCC">
            <w:pPr>
              <w:rPr>
                <w:color w:val="auto"/>
                <w:sz w:val="20"/>
                <w:szCs w:val="20"/>
                <w:lang w:eastAsia="en-GB"/>
              </w:rPr>
            </w:pPr>
            <w:r w:rsidRPr="00675859">
              <w:rPr>
                <w:color w:val="auto"/>
                <w:sz w:val="20"/>
                <w:szCs w:val="20"/>
                <w:lang w:eastAsia="en-GB"/>
              </w:rPr>
              <w:t>Additive outlier (N=28)</w:t>
            </w:r>
          </w:p>
        </w:tc>
        <w:tc>
          <w:tcPr>
            <w:tcW w:w="1267" w:type="dxa"/>
            <w:shd w:val="clear" w:color="auto" w:fill="auto"/>
            <w:noWrap/>
            <w:vAlign w:val="bottom"/>
            <w:hideMark/>
          </w:tcPr>
          <w:p w:rsidR="00675859" w:rsidRPr="00675859" w:rsidRDefault="00227B5A" w:rsidP="00673DCC">
            <w:pPr>
              <w:rPr>
                <w:color w:val="auto"/>
                <w:sz w:val="20"/>
                <w:szCs w:val="20"/>
                <w:lang w:eastAsia="en-GB"/>
              </w:rPr>
            </w:pPr>
            <w:r w:rsidRPr="00675859">
              <w:rPr>
                <w:color w:val="auto"/>
                <w:sz w:val="20"/>
                <w:szCs w:val="20"/>
                <w:lang w:eastAsia="en-GB"/>
              </w:rPr>
              <w:t xml:space="preserve">Ramp </w:t>
            </w:r>
          </w:p>
          <w:p w:rsidR="00227B5A" w:rsidRPr="00675859" w:rsidRDefault="00227B5A" w:rsidP="00673DCC">
            <w:pPr>
              <w:rPr>
                <w:color w:val="auto"/>
                <w:sz w:val="20"/>
                <w:szCs w:val="20"/>
                <w:lang w:eastAsia="en-GB"/>
              </w:rPr>
            </w:pPr>
            <w:r w:rsidRPr="00675859">
              <w:rPr>
                <w:color w:val="auto"/>
                <w:sz w:val="20"/>
                <w:szCs w:val="20"/>
                <w:lang w:eastAsia="en-GB"/>
              </w:rPr>
              <w:t>(N = 18)</w:t>
            </w:r>
          </w:p>
        </w:tc>
        <w:tc>
          <w:tcPr>
            <w:tcW w:w="1186" w:type="dxa"/>
            <w:shd w:val="clear" w:color="auto" w:fill="auto"/>
            <w:noWrap/>
            <w:vAlign w:val="bottom"/>
            <w:hideMark/>
          </w:tcPr>
          <w:p w:rsidR="00675859" w:rsidRPr="00675859" w:rsidRDefault="00227B5A" w:rsidP="00673DCC">
            <w:pPr>
              <w:rPr>
                <w:color w:val="auto"/>
                <w:sz w:val="20"/>
                <w:szCs w:val="20"/>
                <w:lang w:eastAsia="en-GB"/>
              </w:rPr>
            </w:pPr>
            <w:r w:rsidRPr="00675859">
              <w:rPr>
                <w:color w:val="auto"/>
                <w:sz w:val="20"/>
                <w:szCs w:val="20"/>
                <w:lang w:eastAsia="en-GB"/>
              </w:rPr>
              <w:t xml:space="preserve">Seasonal break </w:t>
            </w:r>
          </w:p>
          <w:p w:rsidR="00227B5A" w:rsidRPr="00675859" w:rsidRDefault="00227B5A" w:rsidP="00673DCC">
            <w:pPr>
              <w:rPr>
                <w:color w:val="auto"/>
                <w:sz w:val="20"/>
                <w:szCs w:val="20"/>
                <w:lang w:eastAsia="en-GB"/>
              </w:rPr>
            </w:pPr>
            <w:r w:rsidRPr="00675859">
              <w:rPr>
                <w:color w:val="auto"/>
                <w:sz w:val="20"/>
                <w:szCs w:val="20"/>
                <w:lang w:eastAsia="en-GB"/>
              </w:rPr>
              <w:t>(N =4)</w:t>
            </w:r>
          </w:p>
        </w:tc>
        <w:tc>
          <w:tcPr>
            <w:tcW w:w="1186" w:type="dxa"/>
            <w:shd w:val="clear" w:color="auto" w:fill="auto"/>
            <w:noWrap/>
            <w:vAlign w:val="bottom"/>
            <w:hideMark/>
          </w:tcPr>
          <w:p w:rsidR="00227B5A" w:rsidRPr="00675859" w:rsidRDefault="00227B5A" w:rsidP="00673DCC">
            <w:pPr>
              <w:rPr>
                <w:color w:val="auto"/>
                <w:sz w:val="20"/>
                <w:szCs w:val="20"/>
                <w:lang w:eastAsia="en-GB"/>
              </w:rPr>
            </w:pPr>
            <w:r w:rsidRPr="00675859">
              <w:rPr>
                <w:color w:val="auto"/>
                <w:sz w:val="20"/>
                <w:szCs w:val="20"/>
                <w:lang w:eastAsia="en-GB"/>
              </w:rPr>
              <w:t>No effect (N=586)</w:t>
            </w:r>
          </w:p>
        </w:tc>
      </w:tr>
      <w:tr w:rsidR="00675859" w:rsidRPr="00675859" w:rsidTr="00675859">
        <w:trPr>
          <w:trHeight w:val="300"/>
        </w:trPr>
        <w:tc>
          <w:tcPr>
            <w:tcW w:w="2340" w:type="dxa"/>
            <w:shd w:val="clear" w:color="auto" w:fill="auto"/>
            <w:noWrap/>
            <w:vAlign w:val="bottom"/>
            <w:hideMark/>
          </w:tcPr>
          <w:p w:rsidR="00675859" w:rsidRPr="00675859" w:rsidRDefault="00675859" w:rsidP="00673DCC">
            <w:pPr>
              <w:rPr>
                <w:color w:val="auto"/>
                <w:sz w:val="20"/>
                <w:szCs w:val="20"/>
                <w:lang w:eastAsia="en-GB"/>
              </w:rPr>
            </w:pPr>
            <w:r w:rsidRPr="00675859">
              <w:rPr>
                <w:color w:val="auto"/>
                <w:sz w:val="20"/>
                <w:szCs w:val="20"/>
                <w:lang w:eastAsia="en-GB"/>
              </w:rPr>
              <w:t>All AO</w:t>
            </w:r>
          </w:p>
        </w:tc>
        <w:tc>
          <w:tcPr>
            <w:tcW w:w="1206" w:type="dxa"/>
            <w:shd w:val="clear" w:color="auto" w:fill="auto"/>
            <w:noWrap/>
            <w:hideMark/>
          </w:tcPr>
          <w:p w:rsidR="00675859" w:rsidRPr="00675859" w:rsidRDefault="00675859" w:rsidP="005361C2">
            <w:pPr>
              <w:autoSpaceDE w:val="0"/>
              <w:autoSpaceDN w:val="0"/>
              <w:adjustRightInd w:val="0"/>
              <w:rPr>
                <w:color w:val="auto"/>
                <w:sz w:val="20"/>
                <w:szCs w:val="20"/>
                <w:lang w:val="en-GB"/>
              </w:rPr>
            </w:pPr>
            <w:r w:rsidRPr="00675859">
              <w:rPr>
                <w:color w:val="auto"/>
                <w:sz w:val="20"/>
                <w:szCs w:val="20"/>
                <w:lang w:val="en-GB"/>
              </w:rPr>
              <w:t>27.461</w:t>
            </w:r>
          </w:p>
          <w:p w:rsidR="00675859" w:rsidRPr="00675859" w:rsidRDefault="00675859" w:rsidP="005361C2">
            <w:pPr>
              <w:autoSpaceDE w:val="0"/>
              <w:autoSpaceDN w:val="0"/>
              <w:adjustRightInd w:val="0"/>
              <w:rPr>
                <w:color w:val="auto"/>
                <w:sz w:val="20"/>
                <w:szCs w:val="20"/>
              </w:rPr>
            </w:pPr>
            <w:r w:rsidRPr="00675859">
              <w:rPr>
                <w:color w:val="auto"/>
                <w:sz w:val="20"/>
                <w:szCs w:val="20"/>
                <w:lang w:val="en-GB"/>
              </w:rPr>
              <w:t>(18.287)</w:t>
            </w:r>
          </w:p>
        </w:tc>
        <w:tc>
          <w:tcPr>
            <w:tcW w:w="1147" w:type="dxa"/>
            <w:shd w:val="clear" w:color="auto" w:fill="auto"/>
            <w:noWrap/>
            <w:hideMark/>
          </w:tcPr>
          <w:p w:rsidR="00675859" w:rsidRPr="00675859" w:rsidRDefault="00675859" w:rsidP="005361C2">
            <w:pPr>
              <w:autoSpaceDE w:val="0"/>
              <w:autoSpaceDN w:val="0"/>
              <w:adjustRightInd w:val="0"/>
              <w:rPr>
                <w:color w:val="auto"/>
                <w:sz w:val="20"/>
                <w:szCs w:val="20"/>
                <w:lang w:val="en-GB"/>
              </w:rPr>
            </w:pPr>
            <w:r w:rsidRPr="00675859">
              <w:rPr>
                <w:color w:val="auto"/>
                <w:sz w:val="20"/>
                <w:szCs w:val="20"/>
                <w:lang w:val="en-GB"/>
              </w:rPr>
              <w:t>28.099</w:t>
            </w:r>
          </w:p>
          <w:p w:rsidR="00675859" w:rsidRPr="00675859" w:rsidRDefault="00675859" w:rsidP="005361C2">
            <w:pPr>
              <w:autoSpaceDE w:val="0"/>
              <w:autoSpaceDN w:val="0"/>
              <w:adjustRightInd w:val="0"/>
              <w:rPr>
                <w:color w:val="auto"/>
                <w:sz w:val="20"/>
                <w:szCs w:val="20"/>
              </w:rPr>
            </w:pPr>
            <w:r w:rsidRPr="00675859">
              <w:rPr>
                <w:color w:val="auto"/>
                <w:sz w:val="20"/>
                <w:szCs w:val="20"/>
                <w:lang w:val="en-GB"/>
              </w:rPr>
              <w:t>(16.633)</w:t>
            </w:r>
          </w:p>
        </w:tc>
        <w:tc>
          <w:tcPr>
            <w:tcW w:w="1267" w:type="dxa"/>
            <w:shd w:val="clear" w:color="auto" w:fill="auto"/>
            <w:noWrap/>
            <w:hideMark/>
          </w:tcPr>
          <w:p w:rsidR="00675859" w:rsidRPr="00675859" w:rsidRDefault="00675859" w:rsidP="005361C2">
            <w:pPr>
              <w:autoSpaceDE w:val="0"/>
              <w:autoSpaceDN w:val="0"/>
              <w:adjustRightInd w:val="0"/>
              <w:rPr>
                <w:color w:val="auto"/>
                <w:sz w:val="20"/>
                <w:szCs w:val="20"/>
                <w:lang w:val="en-GB"/>
              </w:rPr>
            </w:pPr>
            <w:r w:rsidRPr="00675859">
              <w:rPr>
                <w:color w:val="auto"/>
                <w:sz w:val="20"/>
                <w:szCs w:val="20"/>
                <w:lang w:val="en-GB"/>
              </w:rPr>
              <w:t>29.532</w:t>
            </w:r>
          </w:p>
          <w:p w:rsidR="00675859" w:rsidRPr="00675859" w:rsidRDefault="00675859" w:rsidP="005361C2">
            <w:pPr>
              <w:autoSpaceDE w:val="0"/>
              <w:autoSpaceDN w:val="0"/>
              <w:adjustRightInd w:val="0"/>
              <w:rPr>
                <w:color w:val="auto"/>
                <w:sz w:val="20"/>
                <w:szCs w:val="20"/>
              </w:rPr>
            </w:pPr>
            <w:r w:rsidRPr="00675859">
              <w:rPr>
                <w:color w:val="auto"/>
                <w:sz w:val="20"/>
                <w:szCs w:val="20"/>
                <w:lang w:val="en-GB"/>
              </w:rPr>
              <w:t>(22.197)</w:t>
            </w:r>
          </w:p>
        </w:tc>
        <w:tc>
          <w:tcPr>
            <w:tcW w:w="1186" w:type="dxa"/>
            <w:shd w:val="clear" w:color="auto" w:fill="auto"/>
            <w:noWrap/>
            <w:hideMark/>
          </w:tcPr>
          <w:p w:rsidR="00675859" w:rsidRPr="00675859" w:rsidRDefault="00675859" w:rsidP="00675859">
            <w:pPr>
              <w:autoSpaceDE w:val="0"/>
              <w:autoSpaceDN w:val="0"/>
              <w:adjustRightInd w:val="0"/>
              <w:rPr>
                <w:color w:val="auto"/>
                <w:sz w:val="20"/>
                <w:szCs w:val="20"/>
                <w:lang w:val="en-GB"/>
              </w:rPr>
            </w:pPr>
            <w:r w:rsidRPr="00675859">
              <w:rPr>
                <w:color w:val="auto"/>
                <w:sz w:val="20"/>
                <w:szCs w:val="20"/>
                <w:lang w:val="en-GB"/>
              </w:rPr>
              <w:t>6.446</w:t>
            </w:r>
          </w:p>
          <w:p w:rsidR="00675859" w:rsidRPr="00675859" w:rsidRDefault="00675859" w:rsidP="00675859">
            <w:pPr>
              <w:autoSpaceDE w:val="0"/>
              <w:autoSpaceDN w:val="0"/>
              <w:adjustRightInd w:val="0"/>
              <w:rPr>
                <w:color w:val="auto"/>
                <w:sz w:val="20"/>
                <w:szCs w:val="20"/>
              </w:rPr>
            </w:pPr>
            <w:r w:rsidRPr="00675859">
              <w:rPr>
                <w:color w:val="auto"/>
                <w:sz w:val="20"/>
                <w:szCs w:val="20"/>
                <w:lang w:val="en-GB"/>
              </w:rPr>
              <w:t>(5.091)</w:t>
            </w:r>
          </w:p>
        </w:tc>
        <w:tc>
          <w:tcPr>
            <w:tcW w:w="1186" w:type="dxa"/>
            <w:shd w:val="clear" w:color="auto" w:fill="auto"/>
            <w:noWrap/>
            <w:hideMark/>
          </w:tcPr>
          <w:p w:rsidR="00675859" w:rsidRPr="00675859" w:rsidRDefault="00675859" w:rsidP="00675859">
            <w:pPr>
              <w:autoSpaceDE w:val="0"/>
              <w:autoSpaceDN w:val="0"/>
              <w:adjustRightInd w:val="0"/>
              <w:rPr>
                <w:color w:val="auto"/>
                <w:sz w:val="20"/>
                <w:szCs w:val="20"/>
                <w:lang w:val="en-GB"/>
              </w:rPr>
            </w:pPr>
            <w:r w:rsidRPr="00675859">
              <w:rPr>
                <w:color w:val="auto"/>
                <w:sz w:val="20"/>
                <w:szCs w:val="20"/>
                <w:lang w:val="en-GB"/>
              </w:rPr>
              <w:t>21.723</w:t>
            </w:r>
          </w:p>
          <w:p w:rsidR="00675859" w:rsidRPr="00675859" w:rsidRDefault="00675859" w:rsidP="00675859">
            <w:pPr>
              <w:autoSpaceDE w:val="0"/>
              <w:autoSpaceDN w:val="0"/>
              <w:adjustRightInd w:val="0"/>
              <w:rPr>
                <w:color w:val="auto"/>
                <w:sz w:val="20"/>
                <w:szCs w:val="20"/>
              </w:rPr>
            </w:pPr>
            <w:r w:rsidRPr="00675859">
              <w:rPr>
                <w:color w:val="auto"/>
                <w:sz w:val="20"/>
                <w:szCs w:val="20"/>
                <w:lang w:val="en-GB"/>
              </w:rPr>
              <w:t>(12.426)</w:t>
            </w:r>
          </w:p>
        </w:tc>
      </w:tr>
      <w:tr w:rsidR="00227B5A" w:rsidRPr="00675859" w:rsidTr="00675859">
        <w:trPr>
          <w:trHeight w:val="300"/>
        </w:trPr>
        <w:tc>
          <w:tcPr>
            <w:tcW w:w="2340" w:type="dxa"/>
            <w:shd w:val="clear" w:color="auto" w:fill="auto"/>
            <w:noWrap/>
            <w:vAlign w:val="bottom"/>
            <w:hideMark/>
          </w:tcPr>
          <w:p w:rsidR="00227B5A" w:rsidRPr="00675859" w:rsidRDefault="00227B5A" w:rsidP="00673DCC">
            <w:pPr>
              <w:rPr>
                <w:color w:val="auto"/>
                <w:sz w:val="20"/>
                <w:szCs w:val="20"/>
                <w:lang w:eastAsia="en-GB"/>
              </w:rPr>
            </w:pPr>
            <w:r w:rsidRPr="00675859">
              <w:rPr>
                <w:color w:val="auto"/>
                <w:sz w:val="20"/>
                <w:szCs w:val="20"/>
                <w:lang w:eastAsia="en-GB"/>
              </w:rPr>
              <w:t xml:space="preserve">All LS </w:t>
            </w:r>
          </w:p>
        </w:tc>
        <w:tc>
          <w:tcPr>
            <w:tcW w:w="1206" w:type="dxa"/>
            <w:shd w:val="clear" w:color="auto" w:fill="auto"/>
            <w:noWrap/>
            <w:vAlign w:val="bottom"/>
            <w:hideMark/>
          </w:tcPr>
          <w:p w:rsidR="00675859" w:rsidRPr="00675859" w:rsidRDefault="00675859" w:rsidP="00675859">
            <w:pPr>
              <w:autoSpaceDE w:val="0"/>
              <w:autoSpaceDN w:val="0"/>
              <w:adjustRightInd w:val="0"/>
              <w:rPr>
                <w:color w:val="auto"/>
                <w:sz w:val="20"/>
                <w:szCs w:val="20"/>
                <w:lang w:val="en-GB"/>
              </w:rPr>
            </w:pPr>
            <w:r w:rsidRPr="00675859">
              <w:rPr>
                <w:color w:val="auto"/>
                <w:sz w:val="20"/>
                <w:szCs w:val="20"/>
                <w:lang w:val="en-GB"/>
              </w:rPr>
              <w:t>9.501</w:t>
            </w:r>
          </w:p>
          <w:p w:rsidR="00227B5A" w:rsidRPr="00675859" w:rsidRDefault="00675859" w:rsidP="00675859">
            <w:pPr>
              <w:rPr>
                <w:color w:val="auto"/>
                <w:sz w:val="20"/>
                <w:szCs w:val="20"/>
                <w:lang w:eastAsia="en-GB"/>
              </w:rPr>
            </w:pPr>
            <w:r w:rsidRPr="00675859">
              <w:rPr>
                <w:b/>
                <w:bCs/>
                <w:color w:val="auto"/>
                <w:sz w:val="20"/>
                <w:szCs w:val="20"/>
                <w:lang w:val="en-GB"/>
              </w:rPr>
              <w:t>(5.511)</w:t>
            </w:r>
          </w:p>
        </w:tc>
        <w:tc>
          <w:tcPr>
            <w:tcW w:w="1147" w:type="dxa"/>
            <w:shd w:val="clear" w:color="auto" w:fill="auto"/>
            <w:noWrap/>
            <w:vAlign w:val="bottom"/>
            <w:hideMark/>
          </w:tcPr>
          <w:p w:rsidR="00675859" w:rsidRPr="00675859" w:rsidRDefault="00675859" w:rsidP="00675859">
            <w:pPr>
              <w:autoSpaceDE w:val="0"/>
              <w:autoSpaceDN w:val="0"/>
              <w:adjustRightInd w:val="0"/>
              <w:rPr>
                <w:color w:val="auto"/>
                <w:sz w:val="20"/>
                <w:szCs w:val="20"/>
                <w:lang w:val="en-GB"/>
              </w:rPr>
            </w:pPr>
            <w:r w:rsidRPr="00675859">
              <w:rPr>
                <w:color w:val="auto"/>
                <w:sz w:val="20"/>
                <w:szCs w:val="20"/>
                <w:lang w:val="en-GB"/>
              </w:rPr>
              <w:t>22.238</w:t>
            </w:r>
          </w:p>
          <w:p w:rsidR="00227B5A" w:rsidRPr="00675859" w:rsidRDefault="00675859" w:rsidP="00675859">
            <w:pPr>
              <w:rPr>
                <w:color w:val="auto"/>
                <w:sz w:val="20"/>
                <w:szCs w:val="20"/>
                <w:lang w:eastAsia="en-GB"/>
              </w:rPr>
            </w:pPr>
            <w:r w:rsidRPr="00675859">
              <w:rPr>
                <w:color w:val="auto"/>
                <w:sz w:val="20"/>
                <w:szCs w:val="20"/>
                <w:lang w:val="en-GB"/>
              </w:rPr>
              <w:t>(9.892)</w:t>
            </w:r>
          </w:p>
        </w:tc>
        <w:tc>
          <w:tcPr>
            <w:tcW w:w="1267" w:type="dxa"/>
            <w:shd w:val="clear" w:color="auto" w:fill="auto"/>
            <w:noWrap/>
            <w:vAlign w:val="bottom"/>
            <w:hideMark/>
          </w:tcPr>
          <w:p w:rsidR="00675859" w:rsidRPr="00675859" w:rsidRDefault="00675859" w:rsidP="00675859">
            <w:pPr>
              <w:autoSpaceDE w:val="0"/>
              <w:autoSpaceDN w:val="0"/>
              <w:adjustRightInd w:val="0"/>
              <w:rPr>
                <w:b/>
                <w:bCs/>
                <w:color w:val="auto"/>
                <w:sz w:val="20"/>
                <w:szCs w:val="20"/>
                <w:lang w:val="en-GB"/>
              </w:rPr>
            </w:pPr>
            <w:r w:rsidRPr="00675859">
              <w:rPr>
                <w:b/>
                <w:bCs/>
                <w:color w:val="auto"/>
                <w:sz w:val="20"/>
                <w:szCs w:val="20"/>
                <w:lang w:val="en-GB"/>
              </w:rPr>
              <w:t>5.137</w:t>
            </w:r>
          </w:p>
          <w:p w:rsidR="00227B5A" w:rsidRPr="00675859" w:rsidRDefault="00675859" w:rsidP="00675859">
            <w:pPr>
              <w:rPr>
                <w:color w:val="auto"/>
                <w:sz w:val="20"/>
                <w:szCs w:val="20"/>
              </w:rPr>
            </w:pPr>
            <w:r w:rsidRPr="00675859">
              <w:rPr>
                <w:b/>
                <w:bCs/>
                <w:color w:val="auto"/>
                <w:sz w:val="20"/>
                <w:szCs w:val="20"/>
                <w:lang w:val="en-GB"/>
              </w:rPr>
              <w:t>(3.098)</w:t>
            </w:r>
          </w:p>
        </w:tc>
        <w:tc>
          <w:tcPr>
            <w:tcW w:w="1186" w:type="dxa"/>
            <w:shd w:val="clear" w:color="auto" w:fill="auto"/>
            <w:noWrap/>
            <w:vAlign w:val="bottom"/>
            <w:hideMark/>
          </w:tcPr>
          <w:p w:rsidR="00675859" w:rsidRPr="00675859" w:rsidRDefault="00675859" w:rsidP="00675859">
            <w:pPr>
              <w:autoSpaceDE w:val="0"/>
              <w:autoSpaceDN w:val="0"/>
              <w:adjustRightInd w:val="0"/>
              <w:rPr>
                <w:color w:val="auto"/>
                <w:sz w:val="20"/>
                <w:szCs w:val="20"/>
                <w:lang w:val="en-GB"/>
              </w:rPr>
            </w:pPr>
            <w:r w:rsidRPr="00675859">
              <w:rPr>
                <w:color w:val="auto"/>
                <w:sz w:val="20"/>
                <w:szCs w:val="20"/>
                <w:lang w:val="en-GB"/>
              </w:rPr>
              <w:t xml:space="preserve">6.671 </w:t>
            </w:r>
          </w:p>
          <w:p w:rsidR="00227B5A" w:rsidRPr="00675859" w:rsidRDefault="00675859" w:rsidP="00675859">
            <w:pPr>
              <w:autoSpaceDE w:val="0"/>
              <w:autoSpaceDN w:val="0"/>
              <w:adjustRightInd w:val="0"/>
              <w:rPr>
                <w:color w:val="auto"/>
                <w:sz w:val="20"/>
                <w:szCs w:val="20"/>
                <w:lang w:val="en-GB"/>
              </w:rPr>
            </w:pPr>
            <w:r w:rsidRPr="00675859">
              <w:rPr>
                <w:color w:val="auto"/>
                <w:sz w:val="20"/>
                <w:szCs w:val="20"/>
                <w:lang w:val="en-GB"/>
              </w:rPr>
              <w:t>(5.205)</w:t>
            </w:r>
          </w:p>
        </w:tc>
        <w:tc>
          <w:tcPr>
            <w:tcW w:w="1186" w:type="dxa"/>
            <w:shd w:val="clear" w:color="auto" w:fill="auto"/>
            <w:noWrap/>
            <w:vAlign w:val="bottom"/>
            <w:hideMark/>
          </w:tcPr>
          <w:p w:rsidR="00675859" w:rsidRPr="00675859" w:rsidRDefault="00675859" w:rsidP="00675859">
            <w:pPr>
              <w:autoSpaceDE w:val="0"/>
              <w:autoSpaceDN w:val="0"/>
              <w:adjustRightInd w:val="0"/>
              <w:rPr>
                <w:color w:val="auto"/>
                <w:sz w:val="20"/>
                <w:szCs w:val="20"/>
                <w:lang w:val="en-GB"/>
              </w:rPr>
            </w:pPr>
            <w:r w:rsidRPr="00675859">
              <w:rPr>
                <w:color w:val="auto"/>
                <w:sz w:val="20"/>
                <w:szCs w:val="20"/>
                <w:lang w:val="en-GB"/>
              </w:rPr>
              <w:t>14.334</w:t>
            </w:r>
          </w:p>
          <w:p w:rsidR="00227B5A" w:rsidRPr="00675859" w:rsidRDefault="00675859" w:rsidP="00675859">
            <w:pPr>
              <w:rPr>
                <w:color w:val="auto"/>
                <w:sz w:val="20"/>
                <w:szCs w:val="20"/>
              </w:rPr>
            </w:pPr>
            <w:r w:rsidRPr="00675859">
              <w:rPr>
                <w:color w:val="auto"/>
                <w:sz w:val="20"/>
                <w:szCs w:val="20"/>
                <w:lang w:val="en-GB"/>
              </w:rPr>
              <w:t>(6.489)</w:t>
            </w:r>
          </w:p>
        </w:tc>
      </w:tr>
      <w:tr w:rsidR="00227B5A" w:rsidRPr="00675859" w:rsidTr="00675859">
        <w:trPr>
          <w:trHeight w:val="300"/>
        </w:trPr>
        <w:tc>
          <w:tcPr>
            <w:tcW w:w="2340" w:type="dxa"/>
            <w:shd w:val="clear" w:color="auto" w:fill="auto"/>
            <w:noWrap/>
            <w:vAlign w:val="bottom"/>
            <w:hideMark/>
          </w:tcPr>
          <w:p w:rsidR="00227B5A" w:rsidRPr="00675859" w:rsidRDefault="00227B5A" w:rsidP="00673DCC">
            <w:pPr>
              <w:rPr>
                <w:color w:val="auto"/>
                <w:sz w:val="20"/>
                <w:szCs w:val="20"/>
                <w:lang w:eastAsia="en-GB"/>
              </w:rPr>
            </w:pPr>
            <w:r w:rsidRPr="00675859">
              <w:rPr>
                <w:color w:val="auto"/>
                <w:sz w:val="20"/>
                <w:szCs w:val="20"/>
                <w:lang w:eastAsia="en-GB"/>
              </w:rPr>
              <w:t>Automatic selection</w:t>
            </w:r>
          </w:p>
        </w:tc>
        <w:tc>
          <w:tcPr>
            <w:tcW w:w="1206" w:type="dxa"/>
            <w:shd w:val="clear" w:color="auto" w:fill="auto"/>
            <w:noWrap/>
            <w:vAlign w:val="bottom"/>
            <w:hideMark/>
          </w:tcPr>
          <w:p w:rsidR="00675859" w:rsidRPr="00675859" w:rsidRDefault="00675859" w:rsidP="00675859">
            <w:pPr>
              <w:autoSpaceDE w:val="0"/>
              <w:autoSpaceDN w:val="0"/>
              <w:adjustRightInd w:val="0"/>
              <w:rPr>
                <w:color w:val="auto"/>
                <w:sz w:val="20"/>
                <w:szCs w:val="20"/>
                <w:lang w:val="en-GB"/>
              </w:rPr>
            </w:pPr>
            <w:r w:rsidRPr="00675859">
              <w:rPr>
                <w:color w:val="auto"/>
                <w:sz w:val="20"/>
                <w:szCs w:val="20"/>
                <w:lang w:val="en-GB"/>
              </w:rPr>
              <w:t>10.043</w:t>
            </w:r>
          </w:p>
          <w:p w:rsidR="00227B5A" w:rsidRPr="00675859" w:rsidRDefault="00675859" w:rsidP="00675859">
            <w:pPr>
              <w:rPr>
                <w:color w:val="auto"/>
                <w:sz w:val="20"/>
                <w:szCs w:val="20"/>
                <w:lang w:eastAsia="en-GB"/>
              </w:rPr>
            </w:pPr>
            <w:r w:rsidRPr="00675859">
              <w:rPr>
                <w:color w:val="auto"/>
                <w:sz w:val="20"/>
                <w:szCs w:val="20"/>
                <w:lang w:val="en-GB"/>
              </w:rPr>
              <w:t>(5.722)</w:t>
            </w:r>
          </w:p>
        </w:tc>
        <w:tc>
          <w:tcPr>
            <w:tcW w:w="1147" w:type="dxa"/>
            <w:shd w:val="clear" w:color="auto" w:fill="auto"/>
            <w:noWrap/>
            <w:vAlign w:val="bottom"/>
            <w:hideMark/>
          </w:tcPr>
          <w:p w:rsidR="00675859" w:rsidRPr="00675859" w:rsidRDefault="00675859" w:rsidP="00675859">
            <w:pPr>
              <w:autoSpaceDE w:val="0"/>
              <w:autoSpaceDN w:val="0"/>
              <w:adjustRightInd w:val="0"/>
              <w:rPr>
                <w:b/>
                <w:bCs/>
                <w:color w:val="auto"/>
                <w:sz w:val="20"/>
                <w:szCs w:val="20"/>
                <w:lang w:val="en-GB"/>
              </w:rPr>
            </w:pPr>
            <w:r w:rsidRPr="00675859">
              <w:rPr>
                <w:b/>
                <w:bCs/>
                <w:color w:val="auto"/>
                <w:sz w:val="20"/>
                <w:szCs w:val="20"/>
                <w:lang w:val="en-GB"/>
              </w:rPr>
              <w:t>15.991</w:t>
            </w:r>
          </w:p>
          <w:p w:rsidR="00227B5A" w:rsidRPr="00675859" w:rsidRDefault="00675859" w:rsidP="00675859">
            <w:pPr>
              <w:rPr>
                <w:color w:val="auto"/>
                <w:sz w:val="20"/>
                <w:szCs w:val="20"/>
                <w:lang w:eastAsia="en-GB"/>
              </w:rPr>
            </w:pPr>
            <w:r w:rsidRPr="00675859">
              <w:rPr>
                <w:b/>
                <w:bCs/>
                <w:color w:val="auto"/>
                <w:sz w:val="20"/>
                <w:szCs w:val="20"/>
                <w:lang w:val="en-GB"/>
              </w:rPr>
              <w:t>(8.756)</w:t>
            </w:r>
          </w:p>
        </w:tc>
        <w:tc>
          <w:tcPr>
            <w:tcW w:w="1267" w:type="dxa"/>
            <w:shd w:val="clear" w:color="auto" w:fill="auto"/>
            <w:noWrap/>
            <w:vAlign w:val="bottom"/>
            <w:hideMark/>
          </w:tcPr>
          <w:p w:rsidR="00675859" w:rsidRPr="00675859" w:rsidRDefault="00675859" w:rsidP="00675859">
            <w:pPr>
              <w:autoSpaceDE w:val="0"/>
              <w:autoSpaceDN w:val="0"/>
              <w:adjustRightInd w:val="0"/>
              <w:rPr>
                <w:color w:val="auto"/>
                <w:sz w:val="20"/>
                <w:szCs w:val="20"/>
                <w:lang w:val="en-GB"/>
              </w:rPr>
            </w:pPr>
            <w:r w:rsidRPr="00675859">
              <w:rPr>
                <w:color w:val="auto"/>
                <w:sz w:val="20"/>
                <w:szCs w:val="20"/>
                <w:lang w:val="en-GB"/>
              </w:rPr>
              <w:t>7.367</w:t>
            </w:r>
          </w:p>
          <w:p w:rsidR="00227B5A" w:rsidRPr="00675859" w:rsidRDefault="00675859" w:rsidP="00675859">
            <w:pPr>
              <w:rPr>
                <w:color w:val="auto"/>
                <w:sz w:val="20"/>
                <w:szCs w:val="20"/>
              </w:rPr>
            </w:pPr>
            <w:r w:rsidRPr="00675859">
              <w:rPr>
                <w:color w:val="auto"/>
                <w:sz w:val="20"/>
                <w:szCs w:val="20"/>
                <w:lang w:val="en-GB"/>
              </w:rPr>
              <w:t>(3.438)</w:t>
            </w:r>
          </w:p>
        </w:tc>
        <w:tc>
          <w:tcPr>
            <w:tcW w:w="1186" w:type="dxa"/>
            <w:shd w:val="clear" w:color="auto" w:fill="auto"/>
            <w:noWrap/>
            <w:vAlign w:val="bottom"/>
            <w:hideMark/>
          </w:tcPr>
          <w:p w:rsidR="00675859" w:rsidRPr="00675859" w:rsidRDefault="00675859" w:rsidP="00675859">
            <w:pPr>
              <w:autoSpaceDE w:val="0"/>
              <w:autoSpaceDN w:val="0"/>
              <w:adjustRightInd w:val="0"/>
              <w:rPr>
                <w:color w:val="auto"/>
                <w:sz w:val="20"/>
                <w:szCs w:val="20"/>
                <w:lang w:val="en-GB"/>
              </w:rPr>
            </w:pPr>
            <w:r w:rsidRPr="00675859">
              <w:rPr>
                <w:color w:val="auto"/>
                <w:sz w:val="20"/>
                <w:szCs w:val="20"/>
                <w:lang w:val="en-GB"/>
              </w:rPr>
              <w:t>6.112</w:t>
            </w:r>
          </w:p>
          <w:p w:rsidR="00227B5A" w:rsidRPr="00675859" w:rsidRDefault="00675859" w:rsidP="00675859">
            <w:pPr>
              <w:rPr>
                <w:color w:val="auto"/>
                <w:sz w:val="20"/>
                <w:szCs w:val="20"/>
              </w:rPr>
            </w:pPr>
            <w:r w:rsidRPr="00675859">
              <w:rPr>
                <w:color w:val="auto"/>
                <w:sz w:val="20"/>
                <w:szCs w:val="20"/>
                <w:lang w:val="en-GB"/>
              </w:rPr>
              <w:t>(4.529)</w:t>
            </w:r>
          </w:p>
        </w:tc>
        <w:tc>
          <w:tcPr>
            <w:tcW w:w="1186" w:type="dxa"/>
            <w:shd w:val="clear" w:color="auto" w:fill="auto"/>
            <w:noWrap/>
            <w:vAlign w:val="bottom"/>
            <w:hideMark/>
          </w:tcPr>
          <w:p w:rsidR="00675859" w:rsidRPr="00675859" w:rsidRDefault="00675859" w:rsidP="00675859">
            <w:pPr>
              <w:autoSpaceDE w:val="0"/>
              <w:autoSpaceDN w:val="0"/>
              <w:adjustRightInd w:val="0"/>
              <w:rPr>
                <w:color w:val="auto"/>
                <w:sz w:val="20"/>
                <w:szCs w:val="20"/>
                <w:lang w:val="en-GB"/>
              </w:rPr>
            </w:pPr>
            <w:r w:rsidRPr="00675859">
              <w:rPr>
                <w:color w:val="auto"/>
                <w:sz w:val="20"/>
                <w:szCs w:val="20"/>
                <w:lang w:val="en-GB"/>
              </w:rPr>
              <w:t>11.434</w:t>
            </w:r>
          </w:p>
          <w:p w:rsidR="00227B5A" w:rsidRPr="00675859" w:rsidRDefault="00675859" w:rsidP="00675859">
            <w:pPr>
              <w:rPr>
                <w:color w:val="auto"/>
                <w:sz w:val="20"/>
                <w:szCs w:val="20"/>
              </w:rPr>
            </w:pPr>
            <w:r w:rsidRPr="00675859">
              <w:rPr>
                <w:color w:val="auto"/>
                <w:sz w:val="20"/>
                <w:szCs w:val="20"/>
                <w:lang w:val="en-GB"/>
              </w:rPr>
              <w:t>(5.872)</w:t>
            </w:r>
          </w:p>
        </w:tc>
      </w:tr>
      <w:tr w:rsidR="00227B5A" w:rsidRPr="00675859" w:rsidTr="00675859">
        <w:trPr>
          <w:trHeight w:val="300"/>
        </w:trPr>
        <w:tc>
          <w:tcPr>
            <w:tcW w:w="2340" w:type="dxa"/>
            <w:shd w:val="clear" w:color="auto" w:fill="auto"/>
            <w:noWrap/>
            <w:vAlign w:val="bottom"/>
            <w:hideMark/>
          </w:tcPr>
          <w:p w:rsidR="00227B5A" w:rsidRPr="00675859" w:rsidRDefault="00227B5A" w:rsidP="00673DCC">
            <w:pPr>
              <w:rPr>
                <w:color w:val="auto"/>
                <w:sz w:val="20"/>
                <w:szCs w:val="20"/>
                <w:lang w:eastAsia="en-GB"/>
              </w:rPr>
            </w:pPr>
            <w:r w:rsidRPr="00675859">
              <w:rPr>
                <w:color w:val="auto"/>
                <w:sz w:val="20"/>
                <w:szCs w:val="20"/>
                <w:lang w:eastAsia="en-GB"/>
              </w:rPr>
              <w:t>No intervention</w:t>
            </w:r>
          </w:p>
        </w:tc>
        <w:tc>
          <w:tcPr>
            <w:tcW w:w="1206" w:type="dxa"/>
            <w:shd w:val="clear" w:color="auto" w:fill="auto"/>
            <w:noWrap/>
            <w:vAlign w:val="bottom"/>
            <w:hideMark/>
          </w:tcPr>
          <w:p w:rsidR="00675859" w:rsidRPr="00675859" w:rsidRDefault="00675859" w:rsidP="00675859">
            <w:pPr>
              <w:autoSpaceDE w:val="0"/>
              <w:autoSpaceDN w:val="0"/>
              <w:adjustRightInd w:val="0"/>
              <w:rPr>
                <w:b/>
                <w:bCs/>
                <w:color w:val="auto"/>
                <w:sz w:val="20"/>
                <w:szCs w:val="20"/>
                <w:lang w:val="en-GB"/>
              </w:rPr>
            </w:pPr>
            <w:r w:rsidRPr="00675859">
              <w:rPr>
                <w:b/>
                <w:bCs/>
                <w:color w:val="auto"/>
                <w:sz w:val="20"/>
                <w:szCs w:val="20"/>
                <w:lang w:val="en-GB"/>
              </w:rPr>
              <w:t>9.464</w:t>
            </w:r>
          </w:p>
          <w:p w:rsidR="00227B5A" w:rsidRPr="00675859" w:rsidRDefault="00675859" w:rsidP="00675859">
            <w:pPr>
              <w:rPr>
                <w:color w:val="auto"/>
                <w:sz w:val="20"/>
                <w:szCs w:val="20"/>
                <w:lang w:eastAsia="en-GB"/>
              </w:rPr>
            </w:pPr>
            <w:r w:rsidRPr="00675859">
              <w:rPr>
                <w:color w:val="auto"/>
                <w:sz w:val="20"/>
                <w:szCs w:val="20"/>
                <w:lang w:val="en-GB"/>
              </w:rPr>
              <w:t>(5.555)</w:t>
            </w:r>
          </w:p>
        </w:tc>
        <w:tc>
          <w:tcPr>
            <w:tcW w:w="1147" w:type="dxa"/>
            <w:shd w:val="clear" w:color="auto" w:fill="auto"/>
            <w:noWrap/>
            <w:vAlign w:val="bottom"/>
            <w:hideMark/>
          </w:tcPr>
          <w:p w:rsidR="00675859" w:rsidRPr="00675859" w:rsidRDefault="00675859" w:rsidP="00675859">
            <w:pPr>
              <w:autoSpaceDE w:val="0"/>
              <w:autoSpaceDN w:val="0"/>
              <w:adjustRightInd w:val="0"/>
              <w:rPr>
                <w:color w:val="auto"/>
                <w:sz w:val="20"/>
                <w:szCs w:val="20"/>
                <w:lang w:val="en-GB"/>
              </w:rPr>
            </w:pPr>
            <w:r w:rsidRPr="00675859">
              <w:rPr>
                <w:color w:val="auto"/>
                <w:sz w:val="20"/>
                <w:szCs w:val="20"/>
                <w:lang w:val="en-GB"/>
              </w:rPr>
              <w:t>18.557</w:t>
            </w:r>
          </w:p>
          <w:p w:rsidR="00227B5A" w:rsidRPr="00675859" w:rsidRDefault="00675859" w:rsidP="00675859">
            <w:pPr>
              <w:rPr>
                <w:color w:val="auto"/>
                <w:sz w:val="20"/>
                <w:szCs w:val="20"/>
                <w:lang w:eastAsia="en-GB"/>
              </w:rPr>
            </w:pPr>
            <w:r w:rsidRPr="00675859">
              <w:rPr>
                <w:color w:val="auto"/>
                <w:sz w:val="20"/>
                <w:szCs w:val="20"/>
                <w:lang w:val="en-GB"/>
              </w:rPr>
              <w:t>(9.686)</w:t>
            </w:r>
          </w:p>
        </w:tc>
        <w:tc>
          <w:tcPr>
            <w:tcW w:w="1267" w:type="dxa"/>
            <w:shd w:val="clear" w:color="auto" w:fill="auto"/>
            <w:noWrap/>
            <w:vAlign w:val="bottom"/>
            <w:hideMark/>
          </w:tcPr>
          <w:p w:rsidR="00675859" w:rsidRPr="00675859" w:rsidRDefault="00675859" w:rsidP="00675859">
            <w:pPr>
              <w:autoSpaceDE w:val="0"/>
              <w:autoSpaceDN w:val="0"/>
              <w:adjustRightInd w:val="0"/>
              <w:rPr>
                <w:color w:val="auto"/>
                <w:sz w:val="20"/>
                <w:szCs w:val="20"/>
                <w:lang w:val="en-GB"/>
              </w:rPr>
            </w:pPr>
            <w:r w:rsidRPr="00675859">
              <w:rPr>
                <w:color w:val="auto"/>
                <w:sz w:val="20"/>
                <w:szCs w:val="20"/>
                <w:lang w:val="en-GB"/>
              </w:rPr>
              <w:t>5.691</w:t>
            </w:r>
          </w:p>
          <w:p w:rsidR="00227B5A" w:rsidRPr="00675859" w:rsidRDefault="00675859" w:rsidP="00675859">
            <w:pPr>
              <w:rPr>
                <w:color w:val="auto"/>
                <w:sz w:val="20"/>
                <w:szCs w:val="20"/>
              </w:rPr>
            </w:pPr>
            <w:r w:rsidRPr="00675859">
              <w:rPr>
                <w:color w:val="auto"/>
                <w:sz w:val="20"/>
                <w:szCs w:val="20"/>
                <w:lang w:val="en-GB"/>
              </w:rPr>
              <w:t>(3.322)</w:t>
            </w:r>
          </w:p>
        </w:tc>
        <w:tc>
          <w:tcPr>
            <w:tcW w:w="1186" w:type="dxa"/>
            <w:shd w:val="clear" w:color="auto" w:fill="auto"/>
            <w:noWrap/>
            <w:vAlign w:val="bottom"/>
            <w:hideMark/>
          </w:tcPr>
          <w:p w:rsidR="00675859" w:rsidRPr="00675859" w:rsidRDefault="00675859" w:rsidP="00675859">
            <w:pPr>
              <w:autoSpaceDE w:val="0"/>
              <w:autoSpaceDN w:val="0"/>
              <w:adjustRightInd w:val="0"/>
              <w:rPr>
                <w:b/>
                <w:bCs/>
                <w:color w:val="auto"/>
                <w:sz w:val="20"/>
                <w:szCs w:val="20"/>
                <w:lang w:val="en-GB"/>
              </w:rPr>
            </w:pPr>
            <w:r w:rsidRPr="00675859">
              <w:rPr>
                <w:b/>
                <w:bCs/>
                <w:color w:val="auto"/>
                <w:sz w:val="20"/>
                <w:szCs w:val="20"/>
                <w:lang w:val="en-GB"/>
              </w:rPr>
              <w:t>3.913</w:t>
            </w:r>
          </w:p>
          <w:p w:rsidR="00227B5A" w:rsidRPr="00675859" w:rsidRDefault="00675859" w:rsidP="00675859">
            <w:pPr>
              <w:rPr>
                <w:color w:val="auto"/>
                <w:sz w:val="20"/>
                <w:szCs w:val="20"/>
              </w:rPr>
            </w:pPr>
            <w:r w:rsidRPr="00675859">
              <w:rPr>
                <w:b/>
                <w:bCs/>
                <w:color w:val="auto"/>
                <w:sz w:val="20"/>
                <w:szCs w:val="20"/>
                <w:lang w:val="en-GB"/>
              </w:rPr>
              <w:t>(1.816)</w:t>
            </w:r>
          </w:p>
        </w:tc>
        <w:tc>
          <w:tcPr>
            <w:tcW w:w="1186" w:type="dxa"/>
            <w:shd w:val="clear" w:color="auto" w:fill="auto"/>
            <w:noWrap/>
            <w:vAlign w:val="bottom"/>
            <w:hideMark/>
          </w:tcPr>
          <w:p w:rsidR="00675859" w:rsidRPr="00675859" w:rsidRDefault="00675859" w:rsidP="00675859">
            <w:pPr>
              <w:autoSpaceDE w:val="0"/>
              <w:autoSpaceDN w:val="0"/>
              <w:adjustRightInd w:val="0"/>
              <w:rPr>
                <w:b/>
                <w:bCs/>
                <w:color w:val="auto"/>
                <w:sz w:val="20"/>
                <w:szCs w:val="20"/>
                <w:lang w:val="en-GB"/>
              </w:rPr>
            </w:pPr>
            <w:r w:rsidRPr="00675859">
              <w:rPr>
                <w:b/>
                <w:bCs/>
                <w:color w:val="auto"/>
                <w:sz w:val="20"/>
                <w:szCs w:val="20"/>
                <w:lang w:val="en-GB"/>
              </w:rPr>
              <w:t>11.189</w:t>
            </w:r>
          </w:p>
          <w:p w:rsidR="00227B5A" w:rsidRPr="00675859" w:rsidRDefault="00675859" w:rsidP="00675859">
            <w:pPr>
              <w:rPr>
                <w:color w:val="auto"/>
                <w:sz w:val="20"/>
                <w:szCs w:val="20"/>
              </w:rPr>
            </w:pPr>
            <w:r w:rsidRPr="00675859">
              <w:rPr>
                <w:b/>
                <w:bCs/>
                <w:color w:val="auto"/>
                <w:sz w:val="20"/>
                <w:szCs w:val="20"/>
                <w:lang w:val="en-GB"/>
              </w:rPr>
              <w:t>(5.790)</w:t>
            </w:r>
          </w:p>
        </w:tc>
      </w:tr>
    </w:tbl>
    <w:p w:rsidR="00227B5A" w:rsidRDefault="00227B5A">
      <w:pPr>
        <w:jc w:val="both"/>
      </w:pPr>
    </w:p>
    <w:p w:rsidR="00FD4361" w:rsidRDefault="00FD4361">
      <w:pPr>
        <w:jc w:val="both"/>
      </w:pPr>
    </w:p>
    <w:p w:rsidR="008A250D" w:rsidRDefault="008A250D">
      <w:pPr>
        <w:jc w:val="both"/>
      </w:pPr>
    </w:p>
    <w:p w:rsidR="008A250D" w:rsidRDefault="008A250D">
      <w:pPr>
        <w:jc w:val="both"/>
      </w:pPr>
    </w:p>
    <w:p w:rsidR="008A250D" w:rsidRDefault="008A250D">
      <w:pPr>
        <w:jc w:val="both"/>
      </w:pPr>
    </w:p>
    <w:p w:rsidR="00FD4361" w:rsidRDefault="00820E21">
      <w:pPr>
        <w:jc w:val="both"/>
      </w:pPr>
      <w:r>
        <w:rPr>
          <w:b/>
        </w:rPr>
        <w:t>3.2 Seasonal Adjustment Revisions</w:t>
      </w:r>
    </w:p>
    <w:p w:rsidR="00FD4361" w:rsidRDefault="00FD4361">
      <w:pPr>
        <w:jc w:val="both"/>
      </w:pPr>
    </w:p>
    <w:p w:rsidR="00FD4361" w:rsidRDefault="00686CBA">
      <w:r>
        <w:rPr>
          <w:sz w:val="20"/>
          <w:szCs w:val="20"/>
        </w:rPr>
        <w:t>Table 3.2.1</w:t>
      </w:r>
      <w:r w:rsidR="00820E21">
        <w:rPr>
          <w:sz w:val="20"/>
          <w:szCs w:val="20"/>
        </w:rPr>
        <w:t xml:space="preserve"> presents the mean results for first-to-final absolute revisions of the seasonally adjusted values. For series with level shifts, additive outliers or ramps, the best intervention was the use of the automatic outlier detection capability. For series with seasonal breaks, lowest revisions were produced by lengthening the filter, but making no inter</w:t>
      </w:r>
      <w:r w:rsidR="00227B5A">
        <w:rPr>
          <w:sz w:val="20"/>
          <w:szCs w:val="20"/>
        </w:rPr>
        <w:t>vention was also favourable</w:t>
      </w:r>
      <w:r w:rsidR="00820E21">
        <w:rPr>
          <w:sz w:val="20"/>
          <w:szCs w:val="20"/>
        </w:rPr>
        <w:t xml:space="preserve">. For series without any effects shortening the trend filter or making no intervention led to the best outcome. </w:t>
      </w:r>
    </w:p>
    <w:p w:rsidR="00FD4361" w:rsidRDefault="00FD4361">
      <w:pPr>
        <w:jc w:val="both"/>
      </w:pPr>
    </w:p>
    <w:p w:rsidR="00F679A0" w:rsidRPr="00F679A0" w:rsidRDefault="00F679A0" w:rsidP="00F679A0">
      <w:pPr>
        <w:pStyle w:val="Caption"/>
        <w:keepNext/>
        <w:rPr>
          <w:b/>
          <w:i w:val="0"/>
          <w:sz w:val="20"/>
          <w:szCs w:val="20"/>
        </w:rPr>
      </w:pPr>
      <w:r w:rsidRPr="00F679A0">
        <w:rPr>
          <w:b/>
          <w:i w:val="0"/>
          <w:sz w:val="20"/>
          <w:szCs w:val="20"/>
        </w:rPr>
        <w:lastRenderedPageBreak/>
        <w:t>Table 3.2.1</w:t>
      </w:r>
    </w:p>
    <w:p w:rsidR="00F679A0" w:rsidRPr="00F679A0" w:rsidRDefault="00F679A0" w:rsidP="00F679A0">
      <w:pPr>
        <w:pStyle w:val="Caption"/>
        <w:keepNext/>
        <w:rPr>
          <w:b/>
          <w:i w:val="0"/>
          <w:sz w:val="20"/>
          <w:szCs w:val="20"/>
        </w:rPr>
      </w:pPr>
      <w:proofErr w:type="gramStart"/>
      <w:r w:rsidRPr="00F679A0">
        <w:rPr>
          <w:b/>
          <w:i w:val="0"/>
          <w:sz w:val="20"/>
          <w:szCs w:val="20"/>
        </w:rPr>
        <w:t>Mean absolute first-to-final (2016) revisions (January 2008 to December 2009)</w:t>
      </w:r>
      <w:r>
        <w:rPr>
          <w:b/>
          <w:i w:val="0"/>
          <w:sz w:val="20"/>
          <w:szCs w:val="20"/>
        </w:rPr>
        <w:t>.</w:t>
      </w:r>
      <w:proofErr w:type="gramEnd"/>
      <w:r>
        <w:rPr>
          <w:b/>
          <w:i w:val="0"/>
          <w:sz w:val="20"/>
          <w:szCs w:val="20"/>
        </w:rPr>
        <w:t xml:space="preserve"> Values in bold indicate the lowest revisions.</w:t>
      </w:r>
    </w:p>
    <w:tbl>
      <w:tblPr>
        <w:tblW w:w="83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1206"/>
        <w:gridCol w:w="1147"/>
        <w:gridCol w:w="1267"/>
        <w:gridCol w:w="1186"/>
        <w:gridCol w:w="1186"/>
      </w:tblGrid>
      <w:tr w:rsidR="00686CBA" w:rsidRPr="00675859" w:rsidTr="00673DCC">
        <w:trPr>
          <w:trHeight w:val="300"/>
        </w:trPr>
        <w:tc>
          <w:tcPr>
            <w:tcW w:w="2340" w:type="dxa"/>
            <w:vMerge w:val="restart"/>
            <w:shd w:val="clear" w:color="auto" w:fill="auto"/>
            <w:noWrap/>
            <w:vAlign w:val="bottom"/>
            <w:hideMark/>
          </w:tcPr>
          <w:p w:rsidR="00686CBA" w:rsidRPr="00675859" w:rsidRDefault="00686CBA" w:rsidP="00F679A0">
            <w:pPr>
              <w:jc w:val="center"/>
              <w:rPr>
                <w:color w:val="auto"/>
                <w:sz w:val="20"/>
                <w:szCs w:val="20"/>
                <w:lang w:eastAsia="en-GB"/>
              </w:rPr>
            </w:pPr>
            <w:r w:rsidRPr="00675859">
              <w:rPr>
                <w:color w:val="auto"/>
                <w:sz w:val="20"/>
                <w:szCs w:val="20"/>
                <w:lang w:eastAsia="en-GB"/>
              </w:rPr>
              <w:t>Intervention type</w:t>
            </w:r>
          </w:p>
        </w:tc>
        <w:tc>
          <w:tcPr>
            <w:tcW w:w="5992" w:type="dxa"/>
            <w:gridSpan w:val="5"/>
            <w:shd w:val="clear" w:color="auto" w:fill="auto"/>
            <w:noWrap/>
            <w:vAlign w:val="bottom"/>
            <w:hideMark/>
          </w:tcPr>
          <w:p w:rsidR="00686CBA" w:rsidRPr="00675859" w:rsidRDefault="00686CBA" w:rsidP="00F679A0">
            <w:pPr>
              <w:jc w:val="center"/>
              <w:rPr>
                <w:color w:val="auto"/>
                <w:sz w:val="20"/>
                <w:szCs w:val="20"/>
                <w:lang w:eastAsia="en-GB"/>
              </w:rPr>
            </w:pPr>
            <w:r w:rsidRPr="00675859">
              <w:rPr>
                <w:color w:val="auto"/>
                <w:sz w:val="20"/>
                <w:szCs w:val="20"/>
                <w:lang w:eastAsia="en-GB"/>
              </w:rPr>
              <w:t>Actual effect present in series</w:t>
            </w:r>
          </w:p>
        </w:tc>
      </w:tr>
      <w:tr w:rsidR="00686CBA" w:rsidRPr="00675859" w:rsidTr="00673DCC">
        <w:trPr>
          <w:trHeight w:val="300"/>
        </w:trPr>
        <w:tc>
          <w:tcPr>
            <w:tcW w:w="2340" w:type="dxa"/>
            <w:vMerge/>
            <w:shd w:val="clear" w:color="auto" w:fill="auto"/>
            <w:noWrap/>
            <w:vAlign w:val="bottom"/>
            <w:hideMark/>
          </w:tcPr>
          <w:p w:rsidR="00686CBA" w:rsidRPr="00675859" w:rsidRDefault="00686CBA" w:rsidP="00673DCC">
            <w:pPr>
              <w:rPr>
                <w:color w:val="auto"/>
                <w:sz w:val="20"/>
                <w:szCs w:val="20"/>
                <w:lang w:eastAsia="en-GB"/>
              </w:rPr>
            </w:pPr>
          </w:p>
        </w:tc>
        <w:tc>
          <w:tcPr>
            <w:tcW w:w="1206" w:type="dxa"/>
            <w:shd w:val="clear" w:color="auto" w:fill="auto"/>
            <w:noWrap/>
            <w:vAlign w:val="bottom"/>
            <w:hideMark/>
          </w:tcPr>
          <w:p w:rsidR="00686CBA" w:rsidRPr="00675859" w:rsidRDefault="00686CBA" w:rsidP="00673DCC">
            <w:pPr>
              <w:rPr>
                <w:color w:val="auto"/>
                <w:sz w:val="20"/>
                <w:szCs w:val="20"/>
                <w:lang w:eastAsia="en-GB"/>
              </w:rPr>
            </w:pPr>
            <w:r w:rsidRPr="00675859">
              <w:rPr>
                <w:color w:val="auto"/>
                <w:sz w:val="20"/>
                <w:szCs w:val="20"/>
                <w:lang w:eastAsia="en-GB"/>
              </w:rPr>
              <w:t>Level shift (N=50)</w:t>
            </w:r>
          </w:p>
        </w:tc>
        <w:tc>
          <w:tcPr>
            <w:tcW w:w="1147" w:type="dxa"/>
            <w:shd w:val="clear" w:color="auto" w:fill="auto"/>
            <w:noWrap/>
            <w:vAlign w:val="bottom"/>
            <w:hideMark/>
          </w:tcPr>
          <w:p w:rsidR="00686CBA" w:rsidRPr="00675859" w:rsidRDefault="00686CBA" w:rsidP="00673DCC">
            <w:pPr>
              <w:rPr>
                <w:color w:val="auto"/>
                <w:sz w:val="20"/>
                <w:szCs w:val="20"/>
                <w:lang w:eastAsia="en-GB"/>
              </w:rPr>
            </w:pPr>
            <w:r w:rsidRPr="00675859">
              <w:rPr>
                <w:color w:val="auto"/>
                <w:sz w:val="20"/>
                <w:szCs w:val="20"/>
                <w:lang w:eastAsia="en-GB"/>
              </w:rPr>
              <w:t>Additive outlier (N=28)</w:t>
            </w:r>
          </w:p>
        </w:tc>
        <w:tc>
          <w:tcPr>
            <w:tcW w:w="1267" w:type="dxa"/>
            <w:shd w:val="clear" w:color="auto" w:fill="auto"/>
            <w:noWrap/>
            <w:vAlign w:val="bottom"/>
            <w:hideMark/>
          </w:tcPr>
          <w:p w:rsidR="00686CBA" w:rsidRPr="00675859" w:rsidRDefault="00686CBA" w:rsidP="00673DCC">
            <w:pPr>
              <w:rPr>
                <w:color w:val="auto"/>
                <w:sz w:val="20"/>
                <w:szCs w:val="20"/>
                <w:lang w:eastAsia="en-GB"/>
              </w:rPr>
            </w:pPr>
            <w:r w:rsidRPr="00675859">
              <w:rPr>
                <w:color w:val="auto"/>
                <w:sz w:val="20"/>
                <w:szCs w:val="20"/>
                <w:lang w:eastAsia="en-GB"/>
              </w:rPr>
              <w:t xml:space="preserve">Ramp </w:t>
            </w:r>
          </w:p>
          <w:p w:rsidR="00686CBA" w:rsidRPr="00675859" w:rsidRDefault="00686CBA" w:rsidP="00673DCC">
            <w:pPr>
              <w:rPr>
                <w:color w:val="auto"/>
                <w:sz w:val="20"/>
                <w:szCs w:val="20"/>
                <w:lang w:eastAsia="en-GB"/>
              </w:rPr>
            </w:pPr>
            <w:r w:rsidRPr="00675859">
              <w:rPr>
                <w:color w:val="auto"/>
                <w:sz w:val="20"/>
                <w:szCs w:val="20"/>
                <w:lang w:eastAsia="en-GB"/>
              </w:rPr>
              <w:t>(N = 18)</w:t>
            </w:r>
          </w:p>
        </w:tc>
        <w:tc>
          <w:tcPr>
            <w:tcW w:w="1186" w:type="dxa"/>
            <w:shd w:val="clear" w:color="auto" w:fill="auto"/>
            <w:noWrap/>
            <w:vAlign w:val="bottom"/>
            <w:hideMark/>
          </w:tcPr>
          <w:p w:rsidR="00686CBA" w:rsidRPr="00675859" w:rsidRDefault="00686CBA" w:rsidP="00673DCC">
            <w:pPr>
              <w:rPr>
                <w:color w:val="auto"/>
                <w:sz w:val="20"/>
                <w:szCs w:val="20"/>
                <w:lang w:eastAsia="en-GB"/>
              </w:rPr>
            </w:pPr>
            <w:r w:rsidRPr="00675859">
              <w:rPr>
                <w:color w:val="auto"/>
                <w:sz w:val="20"/>
                <w:szCs w:val="20"/>
                <w:lang w:eastAsia="en-GB"/>
              </w:rPr>
              <w:t xml:space="preserve">Seasonal break </w:t>
            </w:r>
          </w:p>
          <w:p w:rsidR="00686CBA" w:rsidRPr="00675859" w:rsidRDefault="00686CBA" w:rsidP="00673DCC">
            <w:pPr>
              <w:rPr>
                <w:color w:val="auto"/>
                <w:sz w:val="20"/>
                <w:szCs w:val="20"/>
                <w:lang w:eastAsia="en-GB"/>
              </w:rPr>
            </w:pPr>
            <w:r w:rsidRPr="00675859">
              <w:rPr>
                <w:color w:val="auto"/>
                <w:sz w:val="20"/>
                <w:szCs w:val="20"/>
                <w:lang w:eastAsia="en-GB"/>
              </w:rPr>
              <w:t>(N =4)</w:t>
            </w:r>
          </w:p>
        </w:tc>
        <w:tc>
          <w:tcPr>
            <w:tcW w:w="1186" w:type="dxa"/>
            <w:shd w:val="clear" w:color="auto" w:fill="auto"/>
            <w:noWrap/>
            <w:vAlign w:val="bottom"/>
            <w:hideMark/>
          </w:tcPr>
          <w:p w:rsidR="00686CBA" w:rsidRPr="00675859" w:rsidRDefault="00686CBA" w:rsidP="00673DCC">
            <w:pPr>
              <w:rPr>
                <w:color w:val="auto"/>
                <w:sz w:val="20"/>
                <w:szCs w:val="20"/>
                <w:lang w:eastAsia="en-GB"/>
              </w:rPr>
            </w:pPr>
            <w:r w:rsidRPr="00675859">
              <w:rPr>
                <w:color w:val="auto"/>
                <w:sz w:val="20"/>
                <w:szCs w:val="20"/>
                <w:lang w:eastAsia="en-GB"/>
              </w:rPr>
              <w:t>No effect (N=586)</w:t>
            </w:r>
          </w:p>
        </w:tc>
      </w:tr>
      <w:tr w:rsidR="00F679A0" w:rsidRPr="00675859" w:rsidTr="00673DCC">
        <w:trPr>
          <w:trHeight w:val="300"/>
        </w:trPr>
        <w:tc>
          <w:tcPr>
            <w:tcW w:w="2340" w:type="dxa"/>
            <w:shd w:val="clear" w:color="auto" w:fill="auto"/>
            <w:noWrap/>
            <w:vAlign w:val="bottom"/>
            <w:hideMark/>
          </w:tcPr>
          <w:p w:rsidR="00F679A0" w:rsidRPr="00675859" w:rsidRDefault="00F679A0" w:rsidP="00673DCC">
            <w:pPr>
              <w:rPr>
                <w:color w:val="auto"/>
                <w:sz w:val="20"/>
                <w:szCs w:val="20"/>
                <w:lang w:eastAsia="en-GB"/>
              </w:rPr>
            </w:pPr>
            <w:r w:rsidRPr="00675859">
              <w:rPr>
                <w:color w:val="auto"/>
                <w:sz w:val="20"/>
                <w:szCs w:val="20"/>
                <w:lang w:eastAsia="en-GB"/>
              </w:rPr>
              <w:t>All AO</w:t>
            </w:r>
          </w:p>
        </w:tc>
        <w:tc>
          <w:tcPr>
            <w:tcW w:w="1206" w:type="dxa"/>
            <w:shd w:val="clear" w:color="auto" w:fill="auto"/>
            <w:noWrap/>
            <w:hideMark/>
          </w:tcPr>
          <w:p w:rsidR="00F679A0" w:rsidRPr="00F679A0" w:rsidRDefault="00F679A0">
            <w:pPr>
              <w:rPr>
                <w:color w:val="auto"/>
                <w:sz w:val="20"/>
                <w:szCs w:val="20"/>
              </w:rPr>
            </w:pPr>
            <w:r w:rsidRPr="00F679A0">
              <w:rPr>
                <w:color w:val="auto"/>
                <w:sz w:val="20"/>
                <w:szCs w:val="20"/>
              </w:rPr>
              <w:t>2.247</w:t>
            </w:r>
          </w:p>
        </w:tc>
        <w:tc>
          <w:tcPr>
            <w:tcW w:w="1147" w:type="dxa"/>
            <w:shd w:val="clear" w:color="auto" w:fill="auto"/>
            <w:noWrap/>
            <w:hideMark/>
          </w:tcPr>
          <w:p w:rsidR="00F679A0" w:rsidRPr="00F679A0" w:rsidRDefault="00F679A0">
            <w:pPr>
              <w:rPr>
                <w:color w:val="auto"/>
                <w:sz w:val="20"/>
                <w:szCs w:val="20"/>
              </w:rPr>
            </w:pPr>
            <w:r w:rsidRPr="00F679A0">
              <w:rPr>
                <w:color w:val="auto"/>
                <w:sz w:val="20"/>
                <w:szCs w:val="20"/>
              </w:rPr>
              <w:t>4.591</w:t>
            </w:r>
          </w:p>
        </w:tc>
        <w:tc>
          <w:tcPr>
            <w:tcW w:w="1267" w:type="dxa"/>
            <w:shd w:val="clear" w:color="auto" w:fill="auto"/>
            <w:noWrap/>
            <w:hideMark/>
          </w:tcPr>
          <w:p w:rsidR="00F679A0" w:rsidRPr="00F679A0" w:rsidRDefault="00F679A0">
            <w:pPr>
              <w:rPr>
                <w:color w:val="auto"/>
                <w:sz w:val="20"/>
                <w:szCs w:val="20"/>
              </w:rPr>
            </w:pPr>
            <w:r w:rsidRPr="00F679A0">
              <w:rPr>
                <w:color w:val="auto"/>
                <w:sz w:val="20"/>
                <w:szCs w:val="20"/>
              </w:rPr>
              <w:t>1.297</w:t>
            </w:r>
          </w:p>
        </w:tc>
        <w:tc>
          <w:tcPr>
            <w:tcW w:w="1186" w:type="dxa"/>
            <w:shd w:val="clear" w:color="auto" w:fill="auto"/>
            <w:noWrap/>
            <w:hideMark/>
          </w:tcPr>
          <w:p w:rsidR="00F679A0" w:rsidRPr="00F679A0" w:rsidRDefault="00F679A0">
            <w:pPr>
              <w:rPr>
                <w:color w:val="auto"/>
                <w:sz w:val="20"/>
                <w:szCs w:val="20"/>
              </w:rPr>
            </w:pPr>
            <w:r w:rsidRPr="00F679A0">
              <w:rPr>
                <w:color w:val="auto"/>
                <w:sz w:val="20"/>
                <w:szCs w:val="20"/>
              </w:rPr>
              <w:t>4.982</w:t>
            </w:r>
          </w:p>
        </w:tc>
        <w:tc>
          <w:tcPr>
            <w:tcW w:w="1186" w:type="dxa"/>
            <w:shd w:val="clear" w:color="auto" w:fill="auto"/>
            <w:noWrap/>
            <w:hideMark/>
          </w:tcPr>
          <w:p w:rsidR="00F679A0" w:rsidRPr="00F679A0" w:rsidRDefault="00F679A0">
            <w:pPr>
              <w:rPr>
                <w:color w:val="auto"/>
                <w:sz w:val="20"/>
                <w:szCs w:val="20"/>
              </w:rPr>
            </w:pPr>
            <w:r w:rsidRPr="00F679A0">
              <w:rPr>
                <w:color w:val="auto"/>
                <w:sz w:val="20"/>
                <w:szCs w:val="20"/>
              </w:rPr>
              <w:t>3.360</w:t>
            </w:r>
          </w:p>
        </w:tc>
      </w:tr>
      <w:tr w:rsidR="00F679A0" w:rsidRPr="00675859" w:rsidTr="00317C0D">
        <w:trPr>
          <w:trHeight w:val="300"/>
        </w:trPr>
        <w:tc>
          <w:tcPr>
            <w:tcW w:w="2340" w:type="dxa"/>
            <w:shd w:val="clear" w:color="auto" w:fill="auto"/>
            <w:noWrap/>
            <w:vAlign w:val="bottom"/>
            <w:hideMark/>
          </w:tcPr>
          <w:p w:rsidR="00F679A0" w:rsidRPr="00675859" w:rsidRDefault="00F679A0" w:rsidP="00673DCC">
            <w:pPr>
              <w:rPr>
                <w:color w:val="auto"/>
                <w:sz w:val="20"/>
                <w:szCs w:val="20"/>
                <w:lang w:eastAsia="en-GB"/>
              </w:rPr>
            </w:pPr>
            <w:r w:rsidRPr="00675859">
              <w:rPr>
                <w:color w:val="auto"/>
                <w:sz w:val="20"/>
                <w:szCs w:val="20"/>
                <w:lang w:eastAsia="en-GB"/>
              </w:rPr>
              <w:t xml:space="preserve">All LS </w:t>
            </w:r>
          </w:p>
        </w:tc>
        <w:tc>
          <w:tcPr>
            <w:tcW w:w="1206" w:type="dxa"/>
            <w:shd w:val="clear" w:color="auto" w:fill="auto"/>
            <w:noWrap/>
            <w:hideMark/>
          </w:tcPr>
          <w:p w:rsidR="00F679A0" w:rsidRPr="00F679A0" w:rsidRDefault="00F679A0">
            <w:pPr>
              <w:pStyle w:val="TableParagraph"/>
              <w:kinsoku w:val="0"/>
              <w:overflowPunct w:val="0"/>
              <w:spacing w:before="15"/>
              <w:ind w:left="40"/>
              <w:rPr>
                <w:sz w:val="20"/>
                <w:szCs w:val="20"/>
              </w:rPr>
            </w:pPr>
            <w:r w:rsidRPr="00F679A0">
              <w:rPr>
                <w:sz w:val="20"/>
                <w:szCs w:val="20"/>
              </w:rPr>
              <w:t>2.247</w:t>
            </w:r>
          </w:p>
        </w:tc>
        <w:tc>
          <w:tcPr>
            <w:tcW w:w="1147" w:type="dxa"/>
            <w:shd w:val="clear" w:color="auto" w:fill="auto"/>
            <w:noWrap/>
            <w:hideMark/>
          </w:tcPr>
          <w:p w:rsidR="00F679A0" w:rsidRPr="00F679A0" w:rsidRDefault="00F679A0" w:rsidP="00F679A0">
            <w:pPr>
              <w:pStyle w:val="TableParagraph"/>
              <w:kinsoku w:val="0"/>
              <w:overflowPunct w:val="0"/>
              <w:spacing w:before="15"/>
              <w:rPr>
                <w:sz w:val="20"/>
                <w:szCs w:val="20"/>
              </w:rPr>
            </w:pPr>
            <w:r w:rsidRPr="00F679A0">
              <w:rPr>
                <w:sz w:val="20"/>
                <w:szCs w:val="20"/>
              </w:rPr>
              <w:t>4.591</w:t>
            </w:r>
          </w:p>
        </w:tc>
        <w:tc>
          <w:tcPr>
            <w:tcW w:w="1267" w:type="dxa"/>
            <w:shd w:val="clear" w:color="auto" w:fill="auto"/>
            <w:noWrap/>
            <w:hideMark/>
          </w:tcPr>
          <w:p w:rsidR="00F679A0" w:rsidRPr="00F679A0" w:rsidRDefault="00F679A0" w:rsidP="00F679A0">
            <w:pPr>
              <w:pStyle w:val="TableParagraph"/>
              <w:kinsoku w:val="0"/>
              <w:overflowPunct w:val="0"/>
              <w:spacing w:before="15"/>
              <w:rPr>
                <w:sz w:val="20"/>
                <w:szCs w:val="20"/>
              </w:rPr>
            </w:pPr>
            <w:r w:rsidRPr="00F679A0">
              <w:rPr>
                <w:sz w:val="20"/>
                <w:szCs w:val="20"/>
              </w:rPr>
              <w:t>1.297</w:t>
            </w:r>
          </w:p>
        </w:tc>
        <w:tc>
          <w:tcPr>
            <w:tcW w:w="1186" w:type="dxa"/>
            <w:shd w:val="clear" w:color="auto" w:fill="auto"/>
            <w:noWrap/>
            <w:hideMark/>
          </w:tcPr>
          <w:p w:rsidR="00F679A0" w:rsidRPr="00F679A0" w:rsidRDefault="00F679A0" w:rsidP="00F679A0">
            <w:pPr>
              <w:pStyle w:val="TableParagraph"/>
              <w:kinsoku w:val="0"/>
              <w:overflowPunct w:val="0"/>
              <w:spacing w:before="15"/>
              <w:rPr>
                <w:sz w:val="20"/>
                <w:szCs w:val="20"/>
              </w:rPr>
            </w:pPr>
            <w:r w:rsidRPr="00F679A0">
              <w:rPr>
                <w:sz w:val="20"/>
                <w:szCs w:val="20"/>
              </w:rPr>
              <w:t>4.982</w:t>
            </w:r>
          </w:p>
        </w:tc>
        <w:tc>
          <w:tcPr>
            <w:tcW w:w="1186" w:type="dxa"/>
            <w:shd w:val="clear" w:color="auto" w:fill="auto"/>
            <w:noWrap/>
            <w:hideMark/>
          </w:tcPr>
          <w:p w:rsidR="00F679A0" w:rsidRPr="00F679A0" w:rsidRDefault="00F679A0" w:rsidP="00F679A0">
            <w:pPr>
              <w:pStyle w:val="TableParagraph"/>
              <w:kinsoku w:val="0"/>
              <w:overflowPunct w:val="0"/>
              <w:spacing w:before="15"/>
              <w:rPr>
                <w:sz w:val="20"/>
                <w:szCs w:val="20"/>
              </w:rPr>
            </w:pPr>
            <w:r w:rsidRPr="00F679A0">
              <w:rPr>
                <w:sz w:val="20"/>
                <w:szCs w:val="20"/>
              </w:rPr>
              <w:t>3.360</w:t>
            </w:r>
          </w:p>
        </w:tc>
      </w:tr>
      <w:tr w:rsidR="00F679A0" w:rsidRPr="00675859" w:rsidTr="00CB1C35">
        <w:trPr>
          <w:trHeight w:val="300"/>
        </w:trPr>
        <w:tc>
          <w:tcPr>
            <w:tcW w:w="2340" w:type="dxa"/>
            <w:shd w:val="clear" w:color="auto" w:fill="auto"/>
            <w:noWrap/>
            <w:vAlign w:val="bottom"/>
            <w:hideMark/>
          </w:tcPr>
          <w:p w:rsidR="00F679A0" w:rsidRPr="00675859" w:rsidRDefault="00F679A0" w:rsidP="00673DCC">
            <w:pPr>
              <w:rPr>
                <w:color w:val="auto"/>
                <w:sz w:val="20"/>
                <w:szCs w:val="20"/>
                <w:lang w:eastAsia="en-GB"/>
              </w:rPr>
            </w:pPr>
            <w:r w:rsidRPr="00675859">
              <w:rPr>
                <w:color w:val="auto"/>
                <w:sz w:val="20"/>
                <w:szCs w:val="20"/>
                <w:lang w:eastAsia="en-GB"/>
              </w:rPr>
              <w:t>Automatic selection</w:t>
            </w:r>
          </w:p>
        </w:tc>
        <w:tc>
          <w:tcPr>
            <w:tcW w:w="1206" w:type="dxa"/>
            <w:shd w:val="clear" w:color="auto" w:fill="auto"/>
            <w:noWrap/>
            <w:hideMark/>
          </w:tcPr>
          <w:p w:rsidR="00F679A0" w:rsidRPr="00F679A0" w:rsidRDefault="00F679A0">
            <w:pPr>
              <w:rPr>
                <w:b/>
                <w:bCs/>
                <w:color w:val="auto"/>
                <w:sz w:val="20"/>
                <w:szCs w:val="20"/>
              </w:rPr>
            </w:pPr>
            <w:r w:rsidRPr="00F679A0">
              <w:rPr>
                <w:b/>
                <w:bCs/>
                <w:color w:val="auto"/>
                <w:sz w:val="20"/>
                <w:szCs w:val="20"/>
              </w:rPr>
              <w:t>2.169</w:t>
            </w:r>
          </w:p>
        </w:tc>
        <w:tc>
          <w:tcPr>
            <w:tcW w:w="1147" w:type="dxa"/>
            <w:shd w:val="clear" w:color="auto" w:fill="auto"/>
            <w:noWrap/>
            <w:hideMark/>
          </w:tcPr>
          <w:p w:rsidR="00F679A0" w:rsidRPr="00F679A0" w:rsidRDefault="00F679A0">
            <w:pPr>
              <w:rPr>
                <w:b/>
                <w:bCs/>
                <w:color w:val="auto"/>
                <w:sz w:val="20"/>
                <w:szCs w:val="20"/>
              </w:rPr>
            </w:pPr>
            <w:r w:rsidRPr="00F679A0">
              <w:rPr>
                <w:b/>
                <w:bCs/>
                <w:color w:val="auto"/>
                <w:sz w:val="20"/>
                <w:szCs w:val="20"/>
              </w:rPr>
              <w:t>3.770</w:t>
            </w:r>
          </w:p>
        </w:tc>
        <w:tc>
          <w:tcPr>
            <w:tcW w:w="1267" w:type="dxa"/>
            <w:shd w:val="clear" w:color="auto" w:fill="auto"/>
            <w:noWrap/>
            <w:hideMark/>
          </w:tcPr>
          <w:p w:rsidR="00F679A0" w:rsidRPr="00F679A0" w:rsidRDefault="00F679A0">
            <w:pPr>
              <w:rPr>
                <w:b/>
                <w:bCs/>
                <w:color w:val="auto"/>
                <w:sz w:val="20"/>
                <w:szCs w:val="20"/>
              </w:rPr>
            </w:pPr>
            <w:r w:rsidRPr="00F679A0">
              <w:rPr>
                <w:b/>
                <w:bCs/>
                <w:color w:val="auto"/>
                <w:sz w:val="20"/>
                <w:szCs w:val="20"/>
              </w:rPr>
              <w:t>1.232</w:t>
            </w:r>
          </w:p>
        </w:tc>
        <w:tc>
          <w:tcPr>
            <w:tcW w:w="1186" w:type="dxa"/>
            <w:shd w:val="clear" w:color="auto" w:fill="auto"/>
            <w:noWrap/>
            <w:hideMark/>
          </w:tcPr>
          <w:p w:rsidR="00F679A0" w:rsidRPr="00F679A0" w:rsidRDefault="00F679A0">
            <w:pPr>
              <w:rPr>
                <w:b/>
                <w:bCs/>
                <w:color w:val="auto"/>
                <w:sz w:val="20"/>
                <w:szCs w:val="20"/>
              </w:rPr>
            </w:pPr>
            <w:r w:rsidRPr="00F679A0">
              <w:rPr>
                <w:b/>
                <w:bCs/>
                <w:color w:val="auto"/>
                <w:sz w:val="20"/>
                <w:szCs w:val="20"/>
              </w:rPr>
              <w:t>4.974</w:t>
            </w:r>
          </w:p>
        </w:tc>
        <w:tc>
          <w:tcPr>
            <w:tcW w:w="1186" w:type="dxa"/>
            <w:shd w:val="clear" w:color="auto" w:fill="auto"/>
            <w:noWrap/>
            <w:hideMark/>
          </w:tcPr>
          <w:p w:rsidR="00F679A0" w:rsidRPr="00F679A0" w:rsidRDefault="00F679A0">
            <w:pPr>
              <w:rPr>
                <w:color w:val="auto"/>
                <w:sz w:val="20"/>
                <w:szCs w:val="20"/>
              </w:rPr>
            </w:pPr>
            <w:r w:rsidRPr="00F679A0">
              <w:rPr>
                <w:color w:val="auto"/>
                <w:sz w:val="20"/>
                <w:szCs w:val="20"/>
              </w:rPr>
              <w:t>2.681</w:t>
            </w:r>
          </w:p>
        </w:tc>
      </w:tr>
      <w:tr w:rsidR="00686CBA" w:rsidRPr="00675859" w:rsidTr="001F5BFA">
        <w:trPr>
          <w:trHeight w:val="300"/>
        </w:trPr>
        <w:tc>
          <w:tcPr>
            <w:tcW w:w="2340" w:type="dxa"/>
            <w:shd w:val="clear" w:color="auto" w:fill="auto"/>
            <w:noWrap/>
            <w:vAlign w:val="bottom"/>
            <w:hideMark/>
          </w:tcPr>
          <w:p w:rsidR="00686CBA" w:rsidRPr="00675859" w:rsidRDefault="00686CBA" w:rsidP="00673DCC">
            <w:pPr>
              <w:rPr>
                <w:color w:val="auto"/>
                <w:sz w:val="20"/>
                <w:szCs w:val="20"/>
                <w:lang w:eastAsia="en-GB"/>
              </w:rPr>
            </w:pPr>
            <w:r>
              <w:rPr>
                <w:color w:val="auto"/>
                <w:sz w:val="20"/>
                <w:szCs w:val="20"/>
                <w:lang w:eastAsia="en-GB"/>
              </w:rPr>
              <w:t>Short filter</w:t>
            </w:r>
          </w:p>
        </w:tc>
        <w:tc>
          <w:tcPr>
            <w:tcW w:w="1206" w:type="dxa"/>
            <w:shd w:val="clear" w:color="auto" w:fill="auto"/>
            <w:noWrap/>
            <w:hideMark/>
          </w:tcPr>
          <w:p w:rsidR="00686CBA" w:rsidRPr="00F679A0" w:rsidRDefault="00686CBA" w:rsidP="00686CBA">
            <w:pPr>
              <w:rPr>
                <w:color w:val="auto"/>
                <w:sz w:val="20"/>
                <w:szCs w:val="20"/>
              </w:rPr>
            </w:pPr>
            <w:r w:rsidRPr="00F679A0">
              <w:rPr>
                <w:color w:val="auto"/>
                <w:sz w:val="20"/>
                <w:szCs w:val="20"/>
                <w:lang w:val="en-GB"/>
              </w:rPr>
              <w:t xml:space="preserve">2.384 </w:t>
            </w:r>
          </w:p>
        </w:tc>
        <w:tc>
          <w:tcPr>
            <w:tcW w:w="1147" w:type="dxa"/>
            <w:shd w:val="clear" w:color="auto" w:fill="auto"/>
            <w:noWrap/>
            <w:hideMark/>
          </w:tcPr>
          <w:p w:rsidR="00686CBA" w:rsidRPr="00F679A0" w:rsidRDefault="00686CBA" w:rsidP="00686CBA">
            <w:pPr>
              <w:rPr>
                <w:color w:val="auto"/>
                <w:sz w:val="20"/>
                <w:szCs w:val="20"/>
              </w:rPr>
            </w:pPr>
            <w:r w:rsidRPr="00F679A0">
              <w:rPr>
                <w:color w:val="auto"/>
                <w:sz w:val="20"/>
                <w:szCs w:val="20"/>
                <w:lang w:val="en-GB"/>
              </w:rPr>
              <w:t xml:space="preserve">4.291 </w:t>
            </w:r>
          </w:p>
        </w:tc>
        <w:tc>
          <w:tcPr>
            <w:tcW w:w="1267" w:type="dxa"/>
            <w:shd w:val="clear" w:color="auto" w:fill="auto"/>
            <w:noWrap/>
            <w:hideMark/>
          </w:tcPr>
          <w:p w:rsidR="00686CBA" w:rsidRPr="00F679A0" w:rsidRDefault="00686CBA" w:rsidP="00686CBA">
            <w:pPr>
              <w:rPr>
                <w:color w:val="auto"/>
                <w:sz w:val="20"/>
                <w:szCs w:val="20"/>
              </w:rPr>
            </w:pPr>
            <w:r w:rsidRPr="00F679A0">
              <w:rPr>
                <w:color w:val="auto"/>
                <w:sz w:val="20"/>
                <w:szCs w:val="20"/>
                <w:lang w:val="en-GB"/>
              </w:rPr>
              <w:t xml:space="preserve">1.759 </w:t>
            </w:r>
          </w:p>
        </w:tc>
        <w:tc>
          <w:tcPr>
            <w:tcW w:w="1186" w:type="dxa"/>
            <w:shd w:val="clear" w:color="auto" w:fill="auto"/>
            <w:noWrap/>
            <w:hideMark/>
          </w:tcPr>
          <w:p w:rsidR="00686CBA" w:rsidRPr="00F679A0" w:rsidRDefault="00686CBA" w:rsidP="00686CBA">
            <w:pPr>
              <w:rPr>
                <w:color w:val="auto"/>
                <w:sz w:val="20"/>
                <w:szCs w:val="20"/>
              </w:rPr>
            </w:pPr>
            <w:r w:rsidRPr="00F679A0">
              <w:rPr>
                <w:color w:val="auto"/>
                <w:sz w:val="20"/>
                <w:szCs w:val="20"/>
                <w:lang w:val="en-GB"/>
              </w:rPr>
              <w:t>3.377</w:t>
            </w:r>
          </w:p>
        </w:tc>
        <w:tc>
          <w:tcPr>
            <w:tcW w:w="1186" w:type="dxa"/>
            <w:shd w:val="clear" w:color="auto" w:fill="auto"/>
            <w:noWrap/>
            <w:hideMark/>
          </w:tcPr>
          <w:p w:rsidR="00686CBA" w:rsidRPr="00F679A0" w:rsidRDefault="00686CBA">
            <w:pPr>
              <w:rPr>
                <w:color w:val="auto"/>
                <w:sz w:val="20"/>
                <w:szCs w:val="20"/>
              </w:rPr>
            </w:pPr>
            <w:r w:rsidRPr="00F679A0">
              <w:rPr>
                <w:b/>
                <w:bCs/>
                <w:color w:val="auto"/>
                <w:sz w:val="20"/>
                <w:szCs w:val="20"/>
                <w:lang w:val="en-GB"/>
              </w:rPr>
              <w:t>2.643</w:t>
            </w:r>
          </w:p>
        </w:tc>
      </w:tr>
      <w:tr w:rsidR="00686CBA" w:rsidRPr="00675859" w:rsidTr="00F94227">
        <w:trPr>
          <w:trHeight w:val="300"/>
        </w:trPr>
        <w:tc>
          <w:tcPr>
            <w:tcW w:w="2340" w:type="dxa"/>
            <w:shd w:val="clear" w:color="auto" w:fill="auto"/>
            <w:noWrap/>
            <w:vAlign w:val="bottom"/>
            <w:hideMark/>
          </w:tcPr>
          <w:p w:rsidR="00686CBA" w:rsidRPr="00675859" w:rsidRDefault="00686CBA" w:rsidP="00673DCC">
            <w:pPr>
              <w:rPr>
                <w:color w:val="auto"/>
                <w:sz w:val="20"/>
                <w:szCs w:val="20"/>
                <w:lang w:eastAsia="en-GB"/>
              </w:rPr>
            </w:pPr>
            <w:r>
              <w:rPr>
                <w:color w:val="auto"/>
                <w:sz w:val="20"/>
                <w:szCs w:val="20"/>
                <w:lang w:eastAsia="en-GB"/>
              </w:rPr>
              <w:t>Long filter</w:t>
            </w:r>
          </w:p>
        </w:tc>
        <w:tc>
          <w:tcPr>
            <w:tcW w:w="1206" w:type="dxa"/>
            <w:shd w:val="clear" w:color="auto" w:fill="auto"/>
            <w:noWrap/>
            <w:hideMark/>
          </w:tcPr>
          <w:p w:rsidR="00686CBA" w:rsidRPr="00F679A0" w:rsidRDefault="00686CBA" w:rsidP="00686CBA">
            <w:pPr>
              <w:rPr>
                <w:color w:val="auto"/>
                <w:sz w:val="20"/>
                <w:szCs w:val="20"/>
              </w:rPr>
            </w:pPr>
            <w:r w:rsidRPr="00F679A0">
              <w:rPr>
                <w:color w:val="auto"/>
                <w:sz w:val="20"/>
                <w:szCs w:val="20"/>
                <w:lang w:val="en-GB"/>
              </w:rPr>
              <w:t xml:space="preserve">2.399 </w:t>
            </w:r>
          </w:p>
        </w:tc>
        <w:tc>
          <w:tcPr>
            <w:tcW w:w="1147" w:type="dxa"/>
            <w:shd w:val="clear" w:color="auto" w:fill="auto"/>
            <w:noWrap/>
            <w:hideMark/>
          </w:tcPr>
          <w:p w:rsidR="00686CBA" w:rsidRPr="00F679A0" w:rsidRDefault="00686CBA" w:rsidP="00686CBA">
            <w:pPr>
              <w:rPr>
                <w:color w:val="auto"/>
                <w:sz w:val="20"/>
                <w:szCs w:val="20"/>
              </w:rPr>
            </w:pPr>
            <w:r w:rsidRPr="00F679A0">
              <w:rPr>
                <w:color w:val="auto"/>
                <w:sz w:val="20"/>
                <w:szCs w:val="20"/>
                <w:lang w:val="en-GB"/>
              </w:rPr>
              <w:t xml:space="preserve">4.314 </w:t>
            </w:r>
          </w:p>
        </w:tc>
        <w:tc>
          <w:tcPr>
            <w:tcW w:w="1267" w:type="dxa"/>
            <w:shd w:val="clear" w:color="auto" w:fill="auto"/>
            <w:noWrap/>
            <w:hideMark/>
          </w:tcPr>
          <w:p w:rsidR="00686CBA" w:rsidRPr="00F679A0" w:rsidRDefault="00686CBA" w:rsidP="00686CBA">
            <w:pPr>
              <w:rPr>
                <w:color w:val="auto"/>
                <w:sz w:val="20"/>
                <w:szCs w:val="20"/>
              </w:rPr>
            </w:pPr>
            <w:r w:rsidRPr="00F679A0">
              <w:rPr>
                <w:color w:val="auto"/>
                <w:sz w:val="20"/>
                <w:szCs w:val="20"/>
                <w:lang w:val="en-GB"/>
              </w:rPr>
              <w:t xml:space="preserve">1.711 </w:t>
            </w:r>
          </w:p>
        </w:tc>
        <w:tc>
          <w:tcPr>
            <w:tcW w:w="1186" w:type="dxa"/>
            <w:shd w:val="clear" w:color="auto" w:fill="auto"/>
            <w:noWrap/>
            <w:hideMark/>
          </w:tcPr>
          <w:p w:rsidR="00686CBA" w:rsidRPr="00F679A0" w:rsidRDefault="00686CBA" w:rsidP="00686CBA">
            <w:pPr>
              <w:rPr>
                <w:color w:val="auto"/>
                <w:sz w:val="20"/>
                <w:szCs w:val="20"/>
              </w:rPr>
            </w:pPr>
            <w:r w:rsidRPr="00F679A0">
              <w:rPr>
                <w:b/>
                <w:bCs/>
                <w:color w:val="auto"/>
                <w:sz w:val="20"/>
                <w:szCs w:val="20"/>
                <w:lang w:val="en-GB"/>
              </w:rPr>
              <w:t xml:space="preserve">3.205 </w:t>
            </w:r>
          </w:p>
        </w:tc>
        <w:tc>
          <w:tcPr>
            <w:tcW w:w="1186" w:type="dxa"/>
            <w:shd w:val="clear" w:color="auto" w:fill="auto"/>
            <w:noWrap/>
            <w:hideMark/>
          </w:tcPr>
          <w:p w:rsidR="00686CBA" w:rsidRPr="00F679A0" w:rsidRDefault="00686CBA">
            <w:pPr>
              <w:rPr>
                <w:color w:val="auto"/>
                <w:sz w:val="20"/>
                <w:szCs w:val="20"/>
              </w:rPr>
            </w:pPr>
            <w:r w:rsidRPr="00F679A0">
              <w:rPr>
                <w:color w:val="auto"/>
                <w:sz w:val="20"/>
                <w:szCs w:val="20"/>
                <w:lang w:val="en-GB"/>
              </w:rPr>
              <w:t>2.653</w:t>
            </w:r>
          </w:p>
        </w:tc>
      </w:tr>
      <w:tr w:rsidR="00686CBA" w:rsidRPr="00675859" w:rsidTr="00C133F4">
        <w:trPr>
          <w:trHeight w:val="300"/>
        </w:trPr>
        <w:tc>
          <w:tcPr>
            <w:tcW w:w="2340" w:type="dxa"/>
            <w:shd w:val="clear" w:color="auto" w:fill="auto"/>
            <w:noWrap/>
            <w:vAlign w:val="bottom"/>
            <w:hideMark/>
          </w:tcPr>
          <w:p w:rsidR="00686CBA" w:rsidRPr="00675859" w:rsidRDefault="00686CBA" w:rsidP="00673DCC">
            <w:pPr>
              <w:rPr>
                <w:color w:val="auto"/>
                <w:sz w:val="20"/>
                <w:szCs w:val="20"/>
                <w:lang w:eastAsia="en-GB"/>
              </w:rPr>
            </w:pPr>
            <w:r w:rsidRPr="00675859">
              <w:rPr>
                <w:color w:val="auto"/>
                <w:sz w:val="20"/>
                <w:szCs w:val="20"/>
                <w:lang w:eastAsia="en-GB"/>
              </w:rPr>
              <w:t>No intervention</w:t>
            </w:r>
          </w:p>
        </w:tc>
        <w:tc>
          <w:tcPr>
            <w:tcW w:w="1206" w:type="dxa"/>
            <w:shd w:val="clear" w:color="auto" w:fill="auto"/>
            <w:noWrap/>
            <w:hideMark/>
          </w:tcPr>
          <w:p w:rsidR="00686CBA" w:rsidRPr="00F679A0" w:rsidRDefault="00686CBA" w:rsidP="00686CBA">
            <w:pPr>
              <w:rPr>
                <w:color w:val="auto"/>
                <w:sz w:val="20"/>
                <w:szCs w:val="20"/>
              </w:rPr>
            </w:pPr>
            <w:r w:rsidRPr="00F679A0">
              <w:rPr>
                <w:color w:val="auto"/>
                <w:sz w:val="20"/>
                <w:szCs w:val="20"/>
                <w:lang w:val="en-GB"/>
              </w:rPr>
              <w:t xml:space="preserve">2.384 </w:t>
            </w:r>
          </w:p>
        </w:tc>
        <w:tc>
          <w:tcPr>
            <w:tcW w:w="1147" w:type="dxa"/>
            <w:shd w:val="clear" w:color="auto" w:fill="auto"/>
            <w:noWrap/>
            <w:hideMark/>
          </w:tcPr>
          <w:p w:rsidR="00686CBA" w:rsidRPr="00F679A0" w:rsidRDefault="00686CBA" w:rsidP="00686CBA">
            <w:pPr>
              <w:rPr>
                <w:color w:val="auto"/>
                <w:sz w:val="20"/>
                <w:szCs w:val="20"/>
              </w:rPr>
            </w:pPr>
            <w:r w:rsidRPr="00F679A0">
              <w:rPr>
                <w:color w:val="auto"/>
                <w:sz w:val="20"/>
                <w:szCs w:val="20"/>
                <w:lang w:val="en-GB"/>
              </w:rPr>
              <w:t xml:space="preserve">4.292 </w:t>
            </w:r>
          </w:p>
        </w:tc>
        <w:tc>
          <w:tcPr>
            <w:tcW w:w="1267" w:type="dxa"/>
            <w:shd w:val="clear" w:color="auto" w:fill="auto"/>
            <w:noWrap/>
            <w:hideMark/>
          </w:tcPr>
          <w:p w:rsidR="00686CBA" w:rsidRPr="00F679A0" w:rsidRDefault="00686CBA" w:rsidP="00686CBA">
            <w:pPr>
              <w:rPr>
                <w:color w:val="auto"/>
                <w:sz w:val="20"/>
                <w:szCs w:val="20"/>
              </w:rPr>
            </w:pPr>
            <w:r w:rsidRPr="00F679A0">
              <w:rPr>
                <w:color w:val="auto"/>
                <w:sz w:val="20"/>
                <w:szCs w:val="20"/>
                <w:lang w:val="en-GB"/>
              </w:rPr>
              <w:t xml:space="preserve">1.733 </w:t>
            </w:r>
          </w:p>
        </w:tc>
        <w:tc>
          <w:tcPr>
            <w:tcW w:w="1186" w:type="dxa"/>
            <w:shd w:val="clear" w:color="auto" w:fill="auto"/>
            <w:noWrap/>
            <w:hideMark/>
          </w:tcPr>
          <w:p w:rsidR="00686CBA" w:rsidRPr="00F679A0" w:rsidRDefault="00686CBA" w:rsidP="00F679A0">
            <w:pPr>
              <w:rPr>
                <w:color w:val="auto"/>
                <w:sz w:val="20"/>
                <w:szCs w:val="20"/>
              </w:rPr>
            </w:pPr>
            <w:r w:rsidRPr="00F679A0">
              <w:rPr>
                <w:color w:val="auto"/>
                <w:sz w:val="20"/>
                <w:szCs w:val="20"/>
                <w:lang w:val="en-GB"/>
              </w:rPr>
              <w:t xml:space="preserve">3.248 </w:t>
            </w:r>
          </w:p>
        </w:tc>
        <w:tc>
          <w:tcPr>
            <w:tcW w:w="1186" w:type="dxa"/>
            <w:shd w:val="clear" w:color="auto" w:fill="auto"/>
            <w:noWrap/>
            <w:hideMark/>
          </w:tcPr>
          <w:p w:rsidR="00686CBA" w:rsidRPr="00F679A0" w:rsidRDefault="00686CBA">
            <w:pPr>
              <w:rPr>
                <w:color w:val="auto"/>
                <w:sz w:val="20"/>
                <w:szCs w:val="20"/>
              </w:rPr>
            </w:pPr>
            <w:r w:rsidRPr="00F679A0">
              <w:rPr>
                <w:b/>
                <w:bCs/>
                <w:color w:val="auto"/>
                <w:sz w:val="20"/>
                <w:szCs w:val="20"/>
                <w:lang w:val="en-GB"/>
              </w:rPr>
              <w:t>2.643</w:t>
            </w:r>
          </w:p>
        </w:tc>
      </w:tr>
    </w:tbl>
    <w:p w:rsidR="00FD4361" w:rsidRDefault="00FD4361">
      <w:pPr>
        <w:jc w:val="both"/>
        <w:rPr>
          <w:b/>
          <w:sz w:val="20"/>
          <w:szCs w:val="20"/>
        </w:rPr>
      </w:pPr>
    </w:p>
    <w:p w:rsidR="00FD4361" w:rsidRDefault="00FD4361">
      <w:pPr>
        <w:jc w:val="both"/>
        <w:rPr>
          <w:sz w:val="20"/>
          <w:szCs w:val="20"/>
        </w:rPr>
      </w:pPr>
    </w:p>
    <w:p w:rsidR="008A250D" w:rsidRDefault="008A250D">
      <w:pPr>
        <w:jc w:val="both"/>
        <w:rPr>
          <w:sz w:val="20"/>
          <w:szCs w:val="20"/>
        </w:rPr>
      </w:pPr>
    </w:p>
    <w:p w:rsidR="00FD4361" w:rsidRDefault="00FD4361">
      <w:pPr>
        <w:jc w:val="both"/>
        <w:rPr>
          <w:sz w:val="20"/>
          <w:szCs w:val="20"/>
        </w:rPr>
      </w:pPr>
    </w:p>
    <w:p w:rsidR="00FD4361" w:rsidRDefault="00820E21" w:rsidP="00F679A0">
      <w:pPr>
        <w:jc w:val="center"/>
      </w:pPr>
      <w:r>
        <w:rPr>
          <w:b/>
        </w:rPr>
        <w:t>4. Discussion</w:t>
      </w:r>
    </w:p>
    <w:p w:rsidR="00FD4361" w:rsidRDefault="00FD4361">
      <w:pPr>
        <w:jc w:val="both"/>
      </w:pPr>
    </w:p>
    <w:p w:rsidR="00FD4361" w:rsidRDefault="00820E21">
      <w:pPr>
        <w:jc w:val="both"/>
        <w:rPr>
          <w:sz w:val="20"/>
          <w:szCs w:val="20"/>
        </w:rPr>
      </w:pPr>
      <w:r>
        <w:rPr>
          <w:sz w:val="20"/>
          <w:szCs w:val="20"/>
        </w:rPr>
        <w:t xml:space="preserve">Based on the current results, there is no option that clearly stands out as the best, but it appears that making no intervention or using an automatic outlier detection procedure are favoured. This is not too surprising, as over-fitting additive outliers or level shifts continuously is likely to lead to worse results due to many false positive corrections to the series, given that there may be just a single outlier or level shift. This fits well with the outcome that level </w:t>
      </w:r>
      <w:proofErr w:type="gramStart"/>
      <w:r>
        <w:rPr>
          <w:sz w:val="20"/>
          <w:szCs w:val="20"/>
        </w:rPr>
        <w:t>shift  adjustments</w:t>
      </w:r>
      <w:proofErr w:type="gramEnd"/>
      <w:r>
        <w:rPr>
          <w:sz w:val="20"/>
          <w:szCs w:val="20"/>
        </w:rPr>
        <w:t xml:space="preserve"> were best for series with ramps, as ramps are indeed a succession of level </w:t>
      </w:r>
      <w:r w:rsidR="001F7FFE">
        <w:rPr>
          <w:sz w:val="20"/>
          <w:szCs w:val="20"/>
        </w:rPr>
        <w:t>shifts</w:t>
      </w:r>
      <w:r w:rsidR="008A250D">
        <w:rPr>
          <w:sz w:val="20"/>
          <w:szCs w:val="20"/>
        </w:rPr>
        <w:t>.</w:t>
      </w:r>
      <w:r>
        <w:rPr>
          <w:sz w:val="20"/>
          <w:szCs w:val="20"/>
        </w:rPr>
        <w:t xml:space="preserve"> </w:t>
      </w:r>
      <w:r w:rsidR="008A250D">
        <w:rPr>
          <w:sz w:val="20"/>
          <w:szCs w:val="20"/>
        </w:rPr>
        <w:t>Therefore,</w:t>
      </w:r>
      <w:r>
        <w:rPr>
          <w:sz w:val="20"/>
          <w:szCs w:val="20"/>
        </w:rPr>
        <w:t xml:space="preserve"> in such cases over-fitting would not be as damaging as for other effects. It may be best to not do any intervention in an</w:t>
      </w:r>
      <w:r w:rsidR="00302B48">
        <w:rPr>
          <w:sz w:val="20"/>
          <w:szCs w:val="20"/>
        </w:rPr>
        <w:t>ticipation, until enough data is</w:t>
      </w:r>
      <w:r>
        <w:rPr>
          <w:sz w:val="20"/>
          <w:szCs w:val="20"/>
        </w:rPr>
        <w:t xml:space="preserve"> available to make an informed decision. The cost of waiting until the uncertainty is reduced seems to be less than over-adjusting in advance. This method is indeed what is currently practiced at the ONS, as seasonal adjustment parameters are fixed in-between revision periods, which typically happen once a year. For forecasts there is no practice to do annual parameter review, they are more often done on ad-hoc basis, or using automatic methods, which is the other favoured outcome from the current study.</w:t>
      </w:r>
      <w:r w:rsidR="001F7FFE">
        <w:rPr>
          <w:sz w:val="20"/>
          <w:szCs w:val="20"/>
        </w:rPr>
        <w:t xml:space="preserve"> </w:t>
      </w:r>
    </w:p>
    <w:p w:rsidR="001F7FFE" w:rsidRDefault="001F7FFE">
      <w:pPr>
        <w:jc w:val="both"/>
        <w:rPr>
          <w:sz w:val="20"/>
          <w:szCs w:val="20"/>
        </w:rPr>
      </w:pPr>
    </w:p>
    <w:p w:rsidR="001F7FFE" w:rsidRDefault="001F7FFE">
      <w:pPr>
        <w:jc w:val="both"/>
      </w:pPr>
      <w:r>
        <w:rPr>
          <w:sz w:val="20"/>
          <w:szCs w:val="20"/>
        </w:rPr>
        <w:t xml:space="preserve">Future considerations would involve testing these methods on actual post-Brexit series. Some work that the Time Series Analysis Branch conducted recently on the amount of seasonal adjustment revisions </w:t>
      </w:r>
      <w:r w:rsidR="003E344D">
        <w:rPr>
          <w:sz w:val="20"/>
          <w:szCs w:val="20"/>
        </w:rPr>
        <w:t>before</w:t>
      </w:r>
      <w:r>
        <w:rPr>
          <w:sz w:val="20"/>
          <w:szCs w:val="20"/>
        </w:rPr>
        <w:t xml:space="preserve"> and post the June referendum indicated evidence that revisions are becoming large for the post-</w:t>
      </w:r>
      <w:r w:rsidR="00650ADF">
        <w:rPr>
          <w:sz w:val="20"/>
          <w:szCs w:val="20"/>
        </w:rPr>
        <w:t xml:space="preserve">referendum </w:t>
      </w:r>
      <w:r>
        <w:rPr>
          <w:sz w:val="20"/>
          <w:szCs w:val="20"/>
        </w:rPr>
        <w:t>perio</w:t>
      </w:r>
      <w:r w:rsidR="00650ADF">
        <w:rPr>
          <w:sz w:val="20"/>
          <w:szCs w:val="20"/>
        </w:rPr>
        <w:t>d</w:t>
      </w:r>
      <w:r>
        <w:rPr>
          <w:sz w:val="20"/>
          <w:szCs w:val="20"/>
        </w:rPr>
        <w:t>s, especially in some series (Retail Sales I</w:t>
      </w:r>
      <w:r w:rsidR="00650ADF">
        <w:rPr>
          <w:sz w:val="20"/>
          <w:szCs w:val="20"/>
        </w:rPr>
        <w:t>n</w:t>
      </w:r>
      <w:r>
        <w:rPr>
          <w:sz w:val="20"/>
          <w:szCs w:val="20"/>
        </w:rPr>
        <w:t>dex). Therefore, there is enough data to apply the current methods. Also, future direction</w:t>
      </w:r>
      <w:r w:rsidR="00650ADF">
        <w:rPr>
          <w:sz w:val="20"/>
          <w:szCs w:val="20"/>
        </w:rPr>
        <w:t xml:space="preserve"> would</w:t>
      </w:r>
      <w:r>
        <w:rPr>
          <w:sz w:val="20"/>
          <w:szCs w:val="20"/>
        </w:rPr>
        <w:t xml:space="preserve"> involve </w:t>
      </w:r>
      <w:proofErr w:type="spellStart"/>
      <w:r>
        <w:rPr>
          <w:sz w:val="20"/>
          <w:szCs w:val="20"/>
        </w:rPr>
        <w:t>multivatiate</w:t>
      </w:r>
      <w:proofErr w:type="spellEnd"/>
      <w:r>
        <w:rPr>
          <w:sz w:val="20"/>
          <w:szCs w:val="20"/>
        </w:rPr>
        <w:t xml:space="preserve"> analysis and using leading indicator series to inform possible changes in the target series in a timely manner and be able to fit appropriate prior adjustments at the end of</w:t>
      </w:r>
      <w:r w:rsidR="00650ADF">
        <w:rPr>
          <w:sz w:val="20"/>
          <w:szCs w:val="20"/>
        </w:rPr>
        <w:t xml:space="preserve"> the</w:t>
      </w:r>
      <w:r>
        <w:rPr>
          <w:sz w:val="20"/>
          <w:szCs w:val="20"/>
        </w:rPr>
        <w:t xml:space="preserve"> time series, rather than use an over-fitting technique. </w:t>
      </w:r>
    </w:p>
    <w:p w:rsidR="00FD4361" w:rsidRDefault="00FD4361">
      <w:pPr>
        <w:jc w:val="both"/>
        <w:rPr>
          <w:sz w:val="20"/>
          <w:szCs w:val="20"/>
        </w:rPr>
      </w:pPr>
    </w:p>
    <w:p w:rsidR="00FD4361" w:rsidRDefault="00FD4361">
      <w:pPr>
        <w:jc w:val="both"/>
      </w:pPr>
    </w:p>
    <w:p w:rsidR="00FD4361" w:rsidRDefault="00820E21">
      <w:pPr>
        <w:jc w:val="center"/>
      </w:pPr>
      <w:r>
        <w:rPr>
          <w:b/>
        </w:rPr>
        <w:t>References</w:t>
      </w:r>
    </w:p>
    <w:p w:rsidR="00FD4361" w:rsidRDefault="00FD4361">
      <w:pPr>
        <w:jc w:val="both"/>
      </w:pPr>
    </w:p>
    <w:p w:rsidR="00FD4361" w:rsidRDefault="00FD4361">
      <w:pPr>
        <w:jc w:val="both"/>
        <w:rPr>
          <w:sz w:val="20"/>
          <w:szCs w:val="20"/>
        </w:rPr>
      </w:pPr>
    </w:p>
    <w:p w:rsidR="00FD4361" w:rsidRDefault="00FD4361" w:rsidP="001F7FFE">
      <w:pPr>
        <w:pStyle w:val="Heading3"/>
        <w:ind w:left="0" w:firstLine="0"/>
        <w:rPr>
          <w:u w:val="none"/>
        </w:rPr>
      </w:pPr>
    </w:p>
    <w:p w:rsidR="00650ADF" w:rsidRPr="008A250D" w:rsidRDefault="00650ADF" w:rsidP="00650ADF">
      <w:pPr>
        <w:jc w:val="both"/>
        <w:rPr>
          <w:color w:val="222222"/>
          <w:sz w:val="20"/>
          <w:shd w:val="clear" w:color="auto" w:fill="FFFFFF"/>
        </w:rPr>
      </w:pPr>
      <w:r w:rsidRPr="008A250D">
        <w:rPr>
          <w:color w:val="222222"/>
          <w:sz w:val="20"/>
          <w:shd w:val="clear" w:color="auto" w:fill="FFFFFF"/>
        </w:rPr>
        <w:t xml:space="preserve">Findlay D, </w:t>
      </w:r>
      <w:proofErr w:type="spellStart"/>
      <w:r w:rsidRPr="008A250D">
        <w:rPr>
          <w:color w:val="222222"/>
          <w:sz w:val="20"/>
          <w:shd w:val="clear" w:color="auto" w:fill="FFFFFF"/>
        </w:rPr>
        <w:t>Monsell</w:t>
      </w:r>
      <w:proofErr w:type="spellEnd"/>
      <w:r w:rsidRPr="008A250D">
        <w:rPr>
          <w:color w:val="222222"/>
          <w:sz w:val="20"/>
          <w:shd w:val="clear" w:color="auto" w:fill="FFFFFF"/>
        </w:rPr>
        <w:t xml:space="preserve"> B, Bell W, Otto M, Chen C (1998)</w:t>
      </w:r>
      <w:r w:rsidRPr="008A250D">
        <w:rPr>
          <w:b/>
          <w:color w:val="222222"/>
          <w:sz w:val="20"/>
          <w:shd w:val="clear" w:color="auto" w:fill="FFFFFF"/>
        </w:rPr>
        <w:t xml:space="preserve"> </w:t>
      </w:r>
      <w:r w:rsidRPr="008A250D">
        <w:rPr>
          <w:color w:val="222222"/>
          <w:sz w:val="20"/>
          <w:shd w:val="clear" w:color="auto" w:fill="FFFFFF"/>
        </w:rPr>
        <w:t>New capabilities and methods of the X-12-ARIMA Seasonal-Adjustment program, Journal of Business &amp; Economic Statistics, Vol.16, No.2 (Apr 1998), pp 127-152</w:t>
      </w:r>
    </w:p>
    <w:p w:rsidR="00650ADF" w:rsidRPr="008A250D" w:rsidRDefault="00650ADF" w:rsidP="00650ADF">
      <w:pPr>
        <w:tabs>
          <w:tab w:val="left" w:pos="5037"/>
          <w:tab w:val="left" w:pos="9357"/>
        </w:tabs>
        <w:spacing w:line="280" w:lineRule="exact"/>
        <w:jc w:val="both"/>
        <w:rPr>
          <w:b/>
          <w:snapToGrid w:val="0"/>
          <w:color w:val="000000"/>
          <w:sz w:val="20"/>
          <w:lang w:val="en-GB" w:eastAsia="en-US"/>
        </w:rPr>
      </w:pPr>
    </w:p>
    <w:p w:rsidR="00650ADF" w:rsidRPr="008A250D" w:rsidRDefault="00650ADF" w:rsidP="00650ADF">
      <w:pPr>
        <w:jc w:val="both"/>
        <w:rPr>
          <w:sz w:val="20"/>
        </w:rPr>
      </w:pPr>
      <w:r w:rsidRPr="008A250D">
        <w:rPr>
          <w:snapToGrid w:val="0"/>
          <w:color w:val="auto"/>
          <w:sz w:val="20"/>
          <w:lang w:val="en-GB" w:eastAsia="en-US"/>
        </w:rPr>
        <w:t xml:space="preserve">Kirchner R and </w:t>
      </w:r>
      <w:proofErr w:type="spellStart"/>
      <w:r w:rsidRPr="008A250D">
        <w:rPr>
          <w:snapToGrid w:val="0"/>
          <w:color w:val="auto"/>
          <w:sz w:val="20"/>
          <w:lang w:val="en-GB" w:eastAsia="en-US"/>
        </w:rPr>
        <w:t>Mehrhoff</w:t>
      </w:r>
      <w:proofErr w:type="spellEnd"/>
      <w:r w:rsidRPr="008A250D">
        <w:rPr>
          <w:snapToGrid w:val="0"/>
          <w:color w:val="auto"/>
          <w:sz w:val="20"/>
          <w:lang w:val="en-GB" w:eastAsia="en-US"/>
        </w:rPr>
        <w:t xml:space="preserve"> J (2012) </w:t>
      </w:r>
      <w:proofErr w:type="gramStart"/>
      <w:r w:rsidRPr="008A250D">
        <w:rPr>
          <w:color w:val="auto"/>
          <w:sz w:val="20"/>
        </w:rPr>
        <w:t>T</w:t>
      </w:r>
      <w:r w:rsidRPr="008A250D">
        <w:rPr>
          <w:sz w:val="20"/>
        </w:rPr>
        <w:t>he</w:t>
      </w:r>
      <w:proofErr w:type="gramEnd"/>
      <w:r w:rsidRPr="008A250D">
        <w:rPr>
          <w:sz w:val="20"/>
        </w:rPr>
        <w:t xml:space="preserve"> role of outlier detection and replacement in practical seasonal adjustment, Workshop on Recent Advances in Seasonal Adjustment</w:t>
      </w:r>
      <w:r w:rsidR="003816DB">
        <w:rPr>
          <w:sz w:val="20"/>
        </w:rPr>
        <w:t>. Available online:</w:t>
      </w:r>
    </w:p>
    <w:p w:rsidR="00650ADF" w:rsidRPr="008A250D" w:rsidRDefault="00251F7E" w:rsidP="008A250D">
      <w:pPr>
        <w:jc w:val="both"/>
        <w:rPr>
          <w:snapToGrid w:val="0"/>
          <w:color w:val="000000"/>
          <w:sz w:val="20"/>
          <w:lang w:val="en-GB" w:eastAsia="en-US"/>
        </w:rPr>
      </w:pPr>
      <w:hyperlink r:id="rId8" w:history="1">
        <w:r w:rsidR="003816DB" w:rsidRPr="00444335">
          <w:rPr>
            <w:rStyle w:val="Hyperlink"/>
            <w:snapToGrid w:val="0"/>
            <w:sz w:val="20"/>
            <w:lang w:val="en-GB" w:eastAsia="en-US"/>
          </w:rPr>
          <w:t>http://ec.europa.eu/eurostat/cros/system/files/WSSAThe%20role%20of%20outlier%20detection%20and%20replacement.pdf</w:t>
        </w:r>
      </w:hyperlink>
      <w:r w:rsidR="003816DB">
        <w:rPr>
          <w:snapToGrid w:val="0"/>
          <w:color w:val="000000"/>
          <w:sz w:val="20"/>
          <w:lang w:val="en-GB" w:eastAsia="en-US"/>
        </w:rPr>
        <w:t xml:space="preserve"> (last accessed on 30/08/17)</w:t>
      </w:r>
    </w:p>
    <w:sectPr w:rsidR="00650ADF" w:rsidRPr="008A250D" w:rsidSect="00FD4361">
      <w:pgSz w:w="12240" w:h="15840"/>
      <w:pgMar w:top="1440" w:right="1440" w:bottom="1440" w:left="1440"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7C8" w:rsidRDefault="003477C8" w:rsidP="00FD4361">
      <w:r>
        <w:separator/>
      </w:r>
    </w:p>
  </w:endnote>
  <w:endnote w:type="continuationSeparator" w:id="0">
    <w:p w:rsidR="003477C8" w:rsidRDefault="003477C8" w:rsidP="00FD43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7C8" w:rsidRDefault="003477C8">
      <w:r>
        <w:separator/>
      </w:r>
    </w:p>
  </w:footnote>
  <w:footnote w:type="continuationSeparator" w:id="0">
    <w:p w:rsidR="003477C8" w:rsidRDefault="003477C8">
      <w:r>
        <w:continuationSeparator/>
      </w:r>
    </w:p>
  </w:footnote>
  <w:footnote w:id="1">
    <w:p w:rsidR="00FD4361" w:rsidRDefault="00820E21">
      <w:pPr>
        <w:jc w:val="both"/>
      </w:pPr>
      <w:r>
        <w:rPr>
          <w:vertAlign w:val="superscript"/>
        </w:rPr>
        <w:footnoteRef/>
      </w:r>
      <w:proofErr w:type="spellStart"/>
      <w:r>
        <w:rPr>
          <w:sz w:val="20"/>
          <w:szCs w:val="20"/>
        </w:rPr>
        <w:t>Atanaska</w:t>
      </w:r>
      <w:proofErr w:type="spellEnd"/>
      <w:r>
        <w:rPr>
          <w:sz w:val="20"/>
          <w:szCs w:val="20"/>
        </w:rPr>
        <w:t xml:space="preserve"> </w:t>
      </w:r>
      <w:proofErr w:type="spellStart"/>
      <w:r>
        <w:rPr>
          <w:sz w:val="20"/>
          <w:szCs w:val="20"/>
        </w:rPr>
        <w:t>Nikolova</w:t>
      </w:r>
      <w:proofErr w:type="spellEnd"/>
      <w:r>
        <w:rPr>
          <w:sz w:val="20"/>
          <w:szCs w:val="20"/>
        </w:rPr>
        <w:t xml:space="preserve">, Office for National Statistics, atanaska.nikolova@ons.gsi.gov.uk; Charlotte </w:t>
      </w:r>
      <w:proofErr w:type="spellStart"/>
      <w:r>
        <w:rPr>
          <w:sz w:val="20"/>
          <w:szCs w:val="20"/>
        </w:rPr>
        <w:t>Gaughan</w:t>
      </w:r>
      <w:proofErr w:type="spellEnd"/>
      <w:r>
        <w:rPr>
          <w:sz w:val="20"/>
          <w:szCs w:val="20"/>
        </w:rPr>
        <w:t xml:space="preserve">, Office for National Statistics; Jennifer Davies, Office for National Statistics; Duncan Elliott,  </w:t>
      </w:r>
      <w:r w:rsidR="00C21152">
        <w:rPr>
          <w:sz w:val="20"/>
          <w:szCs w:val="20"/>
        </w:rPr>
        <w:t>Office for National Statistics;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F7235"/>
    <w:multiLevelType w:val="hybridMultilevel"/>
    <w:tmpl w:val="64CC7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243D8A"/>
    <w:multiLevelType w:val="hybridMultilevel"/>
    <w:tmpl w:val="248C8E70"/>
    <w:lvl w:ilvl="0" w:tplc="6AA0DEC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9D4AC5"/>
    <w:multiLevelType w:val="hybridMultilevel"/>
    <w:tmpl w:val="518AAF3A"/>
    <w:lvl w:ilvl="0" w:tplc="52B2D5F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D4361"/>
    <w:rsid w:val="001A1F55"/>
    <w:rsid w:val="001F7FFE"/>
    <w:rsid w:val="00227B5A"/>
    <w:rsid w:val="00251F7E"/>
    <w:rsid w:val="00302B48"/>
    <w:rsid w:val="003477C8"/>
    <w:rsid w:val="003816DB"/>
    <w:rsid w:val="003B7317"/>
    <w:rsid w:val="003E344D"/>
    <w:rsid w:val="004E0993"/>
    <w:rsid w:val="005722D9"/>
    <w:rsid w:val="00597A8E"/>
    <w:rsid w:val="005E5B54"/>
    <w:rsid w:val="00650ADF"/>
    <w:rsid w:val="00675859"/>
    <w:rsid w:val="00686CBA"/>
    <w:rsid w:val="00820E21"/>
    <w:rsid w:val="008A250D"/>
    <w:rsid w:val="00C21152"/>
    <w:rsid w:val="00F679A0"/>
    <w:rsid w:val="00FD43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A43"/>
    <w:rPr>
      <w:color w:val="00000A"/>
      <w:sz w:val="24"/>
      <w:szCs w:val="24"/>
    </w:rPr>
  </w:style>
  <w:style w:type="paragraph" w:styleId="Heading1">
    <w:name w:val="heading 1"/>
    <w:basedOn w:val="Normal"/>
    <w:next w:val="Normal"/>
    <w:qFormat/>
    <w:rsid w:val="00027A43"/>
    <w:pPr>
      <w:keepNext/>
      <w:jc w:val="both"/>
      <w:outlineLvl w:val="0"/>
    </w:pPr>
    <w:rPr>
      <w:sz w:val="20"/>
      <w:szCs w:val="20"/>
      <w:u w:val="single"/>
    </w:rPr>
  </w:style>
  <w:style w:type="paragraph" w:styleId="Heading3">
    <w:name w:val="heading 3"/>
    <w:basedOn w:val="Normal"/>
    <w:next w:val="Normal"/>
    <w:qFormat/>
    <w:rsid w:val="00027A43"/>
    <w:pPr>
      <w:keepNext/>
      <w:ind w:left="709" w:hanging="709"/>
      <w:jc w:val="both"/>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enInternet">
    <w:name w:val="Lien Internet"/>
    <w:basedOn w:val="DefaultParagraphFont"/>
    <w:rsid w:val="00027A43"/>
    <w:rPr>
      <w:color w:val="0000FF"/>
      <w:u w:val="single"/>
    </w:rPr>
  </w:style>
  <w:style w:type="character" w:styleId="Strong">
    <w:name w:val="Strong"/>
    <w:basedOn w:val="DefaultParagraphFont"/>
    <w:qFormat/>
    <w:rsid w:val="00027A43"/>
    <w:rPr>
      <w:b/>
    </w:rPr>
  </w:style>
  <w:style w:type="character" w:styleId="CommentReference">
    <w:name w:val="annotation reference"/>
    <w:basedOn w:val="DefaultParagraphFont"/>
    <w:uiPriority w:val="99"/>
    <w:semiHidden/>
    <w:unhideWhenUsed/>
    <w:qFormat/>
    <w:rsid w:val="00FC5788"/>
    <w:rPr>
      <w:sz w:val="16"/>
      <w:szCs w:val="16"/>
    </w:rPr>
  </w:style>
  <w:style w:type="character" w:customStyle="1" w:styleId="CommentTextChar">
    <w:name w:val="Comment Text Char"/>
    <w:basedOn w:val="DefaultParagraphFont"/>
    <w:link w:val="CommentText"/>
    <w:uiPriority w:val="99"/>
    <w:semiHidden/>
    <w:qFormat/>
    <w:rsid w:val="00FC5788"/>
    <w:rPr>
      <w:lang w:val="en-CA" w:eastAsia="en-CA"/>
    </w:rPr>
  </w:style>
  <w:style w:type="character" w:customStyle="1" w:styleId="CommentSubjectChar">
    <w:name w:val="Comment Subject Char"/>
    <w:basedOn w:val="CommentTextChar"/>
    <w:link w:val="CommentSubject"/>
    <w:uiPriority w:val="99"/>
    <w:semiHidden/>
    <w:qFormat/>
    <w:rsid w:val="00FC5788"/>
    <w:rPr>
      <w:b/>
      <w:bCs/>
      <w:lang w:val="en-CA" w:eastAsia="en-CA"/>
    </w:rPr>
  </w:style>
  <w:style w:type="character" w:customStyle="1" w:styleId="BalloonTextChar">
    <w:name w:val="Balloon Text Char"/>
    <w:basedOn w:val="DefaultParagraphFont"/>
    <w:link w:val="BalloonText"/>
    <w:uiPriority w:val="99"/>
    <w:semiHidden/>
    <w:qFormat/>
    <w:rsid w:val="00FC5788"/>
    <w:rPr>
      <w:rFonts w:ascii="Tahoma" w:hAnsi="Tahoma" w:cs="Tahoma"/>
      <w:sz w:val="16"/>
      <w:szCs w:val="16"/>
      <w:lang w:val="en-CA" w:eastAsia="en-CA"/>
    </w:rPr>
  </w:style>
  <w:style w:type="character" w:styleId="FollowedHyperlink">
    <w:name w:val="FollowedHyperlink"/>
    <w:basedOn w:val="DefaultParagraphFont"/>
    <w:uiPriority w:val="99"/>
    <w:semiHidden/>
    <w:unhideWhenUsed/>
    <w:qFormat/>
    <w:rsid w:val="00F04C41"/>
    <w:rPr>
      <w:color w:val="800080"/>
      <w:u w:val="single"/>
    </w:rPr>
  </w:style>
  <w:style w:type="character" w:customStyle="1" w:styleId="Caractresdenotedebasdepage">
    <w:name w:val="Caractères de note de bas de page"/>
    <w:qFormat/>
    <w:rsid w:val="00FD4361"/>
  </w:style>
  <w:style w:type="character" w:customStyle="1" w:styleId="Ancredenotedebasdepage">
    <w:name w:val="Ancre de note de bas de page"/>
    <w:rsid w:val="00FD4361"/>
    <w:rPr>
      <w:vertAlign w:val="superscript"/>
    </w:rPr>
  </w:style>
  <w:style w:type="character" w:customStyle="1" w:styleId="Ancredenotedefin">
    <w:name w:val="Ancre de note de fin"/>
    <w:rsid w:val="00FD4361"/>
    <w:rPr>
      <w:vertAlign w:val="superscript"/>
    </w:rPr>
  </w:style>
  <w:style w:type="character" w:customStyle="1" w:styleId="Caractresdenotedefin">
    <w:name w:val="Caractères de note de fin"/>
    <w:qFormat/>
    <w:rsid w:val="00FD4361"/>
  </w:style>
  <w:style w:type="paragraph" w:customStyle="1" w:styleId="Titre">
    <w:name w:val="Titre"/>
    <w:basedOn w:val="Normal"/>
    <w:next w:val="BodyText"/>
    <w:qFormat/>
    <w:rsid w:val="00FD4361"/>
    <w:pPr>
      <w:keepNext/>
      <w:spacing w:before="240" w:after="120"/>
    </w:pPr>
    <w:rPr>
      <w:rFonts w:ascii="Liberation Sans" w:eastAsia="Microsoft YaHei" w:hAnsi="Liberation Sans" w:cs="Mangal"/>
      <w:sz w:val="28"/>
      <w:szCs w:val="28"/>
    </w:rPr>
  </w:style>
  <w:style w:type="paragraph" w:styleId="BodyText">
    <w:name w:val="Body Text"/>
    <w:basedOn w:val="Normal"/>
    <w:rsid w:val="00FD4361"/>
    <w:pPr>
      <w:spacing w:after="140" w:line="288" w:lineRule="auto"/>
    </w:pPr>
  </w:style>
  <w:style w:type="paragraph" w:styleId="List">
    <w:name w:val="List"/>
    <w:basedOn w:val="BodyText"/>
    <w:rsid w:val="00FD4361"/>
    <w:rPr>
      <w:rFonts w:cs="Mangal"/>
    </w:rPr>
  </w:style>
  <w:style w:type="paragraph" w:styleId="Caption">
    <w:name w:val="caption"/>
    <w:basedOn w:val="Normal"/>
    <w:qFormat/>
    <w:rsid w:val="00FD4361"/>
    <w:pPr>
      <w:suppressLineNumbers/>
      <w:spacing w:before="120" w:after="120"/>
    </w:pPr>
    <w:rPr>
      <w:rFonts w:cs="Mangal"/>
      <w:i/>
      <w:iCs/>
    </w:rPr>
  </w:style>
  <w:style w:type="paragraph" w:customStyle="1" w:styleId="Index">
    <w:name w:val="Index"/>
    <w:basedOn w:val="Normal"/>
    <w:qFormat/>
    <w:rsid w:val="00FD4361"/>
    <w:pPr>
      <w:suppressLineNumbers/>
    </w:pPr>
    <w:rPr>
      <w:rFonts w:cs="Mangal"/>
    </w:rPr>
  </w:style>
  <w:style w:type="paragraph" w:styleId="BodyTextIndent">
    <w:name w:val="Body Text Indent"/>
    <w:basedOn w:val="Normal"/>
    <w:rsid w:val="00027A43"/>
    <w:pPr>
      <w:ind w:left="709" w:hanging="709"/>
    </w:pPr>
    <w:rPr>
      <w:sz w:val="20"/>
      <w:szCs w:val="20"/>
      <w:lang w:val="en-US"/>
    </w:rPr>
  </w:style>
  <w:style w:type="paragraph" w:styleId="CommentText">
    <w:name w:val="annotation text"/>
    <w:basedOn w:val="Normal"/>
    <w:link w:val="CommentTextChar"/>
    <w:uiPriority w:val="99"/>
    <w:semiHidden/>
    <w:unhideWhenUsed/>
    <w:qFormat/>
    <w:rsid w:val="00FC5788"/>
    <w:rPr>
      <w:sz w:val="20"/>
      <w:szCs w:val="20"/>
    </w:rPr>
  </w:style>
  <w:style w:type="paragraph" w:styleId="CommentSubject">
    <w:name w:val="annotation subject"/>
    <w:basedOn w:val="CommentText"/>
    <w:link w:val="CommentSubjectChar"/>
    <w:uiPriority w:val="99"/>
    <w:semiHidden/>
    <w:unhideWhenUsed/>
    <w:qFormat/>
    <w:rsid w:val="00FC5788"/>
    <w:rPr>
      <w:b/>
      <w:bCs/>
    </w:rPr>
  </w:style>
  <w:style w:type="paragraph" w:styleId="BalloonText">
    <w:name w:val="Balloon Text"/>
    <w:basedOn w:val="Normal"/>
    <w:link w:val="BalloonTextChar"/>
    <w:uiPriority w:val="99"/>
    <w:semiHidden/>
    <w:unhideWhenUsed/>
    <w:qFormat/>
    <w:rsid w:val="00FC5788"/>
    <w:rPr>
      <w:rFonts w:ascii="Tahoma" w:hAnsi="Tahoma" w:cs="Tahoma"/>
      <w:sz w:val="16"/>
      <w:szCs w:val="16"/>
    </w:rPr>
  </w:style>
  <w:style w:type="paragraph" w:styleId="FootnoteText">
    <w:name w:val="footnote text"/>
    <w:basedOn w:val="Normal"/>
    <w:rsid w:val="00FD4361"/>
  </w:style>
  <w:style w:type="table" w:styleId="TableGrid">
    <w:name w:val="Table Grid"/>
    <w:basedOn w:val="TableNormal"/>
    <w:rsid w:val="00027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F679A0"/>
    <w:pPr>
      <w:autoSpaceDE w:val="0"/>
      <w:autoSpaceDN w:val="0"/>
      <w:adjustRightInd w:val="0"/>
    </w:pPr>
    <w:rPr>
      <w:color w:val="auto"/>
      <w:lang w:val="en-GB"/>
    </w:rPr>
  </w:style>
  <w:style w:type="character" w:customStyle="1" w:styleId="apple-converted-space">
    <w:name w:val="apple-converted-space"/>
    <w:basedOn w:val="DefaultParagraphFont"/>
    <w:rsid w:val="00650ADF"/>
  </w:style>
  <w:style w:type="paragraph" w:styleId="ListParagraph">
    <w:name w:val="List Paragraph"/>
    <w:basedOn w:val="Normal"/>
    <w:uiPriority w:val="34"/>
    <w:qFormat/>
    <w:rsid w:val="003B7317"/>
    <w:pPr>
      <w:ind w:left="720"/>
      <w:contextualSpacing/>
    </w:pPr>
  </w:style>
  <w:style w:type="character" w:styleId="Hyperlink">
    <w:name w:val="Hyperlink"/>
    <w:basedOn w:val="DefaultParagraphFont"/>
    <w:uiPriority w:val="99"/>
    <w:unhideWhenUsed/>
    <w:rsid w:val="003816DB"/>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ec.europa.eu/eurostat/cros/system/files/WSSAThe%20role%20of%20outlier%20detection%20and%20replacement.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2207</Words>
  <Characters>12585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Instructions for preparing your manuscript for the Proceedings</vt:lpstr>
    </vt:vector>
  </TitlesOfParts>
  <Company>STC</Company>
  <LinksUpToDate>false</LinksUpToDate>
  <CharactersWithSpaces>14763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your manuscript for the Proceedings</dc:title>
  <dc:creator>Caroline Rondeau</dc:creator>
  <cp:lastModifiedBy>Rogers, Steven</cp:lastModifiedBy>
  <cp:revision>2</cp:revision>
  <cp:lastPrinted>2010-11-05T14:33:00Z</cp:lastPrinted>
  <dcterms:created xsi:type="dcterms:W3CDTF">2017-10-30T16:22:00Z</dcterms:created>
  <dcterms:modified xsi:type="dcterms:W3CDTF">2017-10-30T16:22:00Z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