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43" w:rsidRPr="008373A8" w:rsidRDefault="00027A43" w:rsidP="00027A43">
      <w:pPr>
        <w:jc w:val="both"/>
        <w:rPr>
          <w:sz w:val="20"/>
          <w:szCs w:val="20"/>
        </w:rPr>
      </w:pPr>
      <w:r w:rsidRPr="008373A8">
        <w:rPr>
          <w:sz w:val="20"/>
          <w:szCs w:val="20"/>
        </w:rPr>
        <w:t xml:space="preserve">Proceedings of </w:t>
      </w:r>
      <w:r w:rsidR="009711F3">
        <w:rPr>
          <w:sz w:val="20"/>
          <w:szCs w:val="20"/>
        </w:rPr>
        <w:t>the 2</w:t>
      </w:r>
      <w:r w:rsidR="00892655">
        <w:rPr>
          <w:sz w:val="20"/>
          <w:szCs w:val="20"/>
        </w:rPr>
        <w:t>2</w:t>
      </w:r>
      <w:r w:rsidR="00D12D6C" w:rsidRPr="00D12D6C">
        <w:rPr>
          <w:sz w:val="20"/>
          <w:szCs w:val="20"/>
          <w:vertAlign w:val="superscript"/>
        </w:rPr>
        <w:t>nd</w:t>
      </w:r>
      <w:r w:rsidR="009711F3">
        <w:rPr>
          <w:sz w:val="20"/>
          <w:szCs w:val="20"/>
        </w:rPr>
        <w:t xml:space="preserve"> GSS Methodology</w:t>
      </w:r>
      <w:r w:rsidRPr="008373A8">
        <w:rPr>
          <w:sz w:val="20"/>
          <w:szCs w:val="20"/>
        </w:rPr>
        <w:t xml:space="preserve"> Symposium </w:t>
      </w:r>
      <w:r w:rsidR="00F04C41">
        <w:rPr>
          <w:sz w:val="20"/>
          <w:szCs w:val="20"/>
        </w:rPr>
        <w:t>201</w:t>
      </w:r>
      <w:r w:rsidR="00892655">
        <w:rPr>
          <w:sz w:val="20"/>
          <w:szCs w:val="20"/>
        </w:rPr>
        <w:t>7</w:t>
      </w:r>
    </w:p>
    <w:p w:rsidR="00027A43" w:rsidRPr="0048217B" w:rsidRDefault="009711F3" w:rsidP="00027A43">
      <w:pPr>
        <w:jc w:val="both"/>
        <w:rPr>
          <w:sz w:val="20"/>
          <w:szCs w:val="20"/>
        </w:rPr>
      </w:pPr>
      <w:r>
        <w:rPr>
          <w:sz w:val="20"/>
          <w:szCs w:val="20"/>
        </w:rPr>
        <w:t>Methodology</w:t>
      </w:r>
      <w:r w:rsidR="00F10372">
        <w:rPr>
          <w:sz w:val="20"/>
          <w:szCs w:val="20"/>
        </w:rPr>
        <w:t xml:space="preserve">: </w:t>
      </w:r>
      <w:r w:rsidR="00892655">
        <w:rPr>
          <w:sz w:val="20"/>
          <w:szCs w:val="20"/>
        </w:rPr>
        <w:t>Insight; Innovation; Implementation; Impact</w:t>
      </w:r>
    </w:p>
    <w:p w:rsidR="00027A43" w:rsidRPr="00C22251" w:rsidRDefault="00027A43" w:rsidP="00027A43">
      <w:pPr>
        <w:jc w:val="both"/>
      </w:pPr>
    </w:p>
    <w:p w:rsidR="00027A43" w:rsidRPr="00354894" w:rsidRDefault="00C23117" w:rsidP="00027A43">
      <w:pPr>
        <w:jc w:val="center"/>
        <w:rPr>
          <w:sz w:val="28"/>
          <w:szCs w:val="28"/>
        </w:rPr>
      </w:pPr>
      <w:r w:rsidRPr="00C23117">
        <w:rPr>
          <w:b/>
          <w:sz w:val="28"/>
          <w:szCs w:val="28"/>
        </w:rPr>
        <w:t>ADRC-E: Making a Methodological Impact</w:t>
      </w:r>
    </w:p>
    <w:p w:rsidR="00027A43" w:rsidRPr="00354894" w:rsidRDefault="00027A43" w:rsidP="00027A43">
      <w:pPr>
        <w:jc w:val="both"/>
        <w:rPr>
          <w:sz w:val="28"/>
        </w:rPr>
      </w:pPr>
    </w:p>
    <w:p w:rsidR="00027A43" w:rsidRPr="00354894" w:rsidRDefault="00C23117" w:rsidP="00027A43">
      <w:pPr>
        <w:jc w:val="center"/>
      </w:pPr>
      <w:r>
        <w:rPr>
          <w:sz w:val="20"/>
          <w:szCs w:val="20"/>
        </w:rPr>
        <w:t>Peter W. F. Smith</w:t>
      </w:r>
      <w:r w:rsidR="00027A43" w:rsidRPr="00354894">
        <w:rPr>
          <w:vertAlign w:val="superscript"/>
        </w:rPr>
        <w:footnoteReference w:id="1"/>
      </w:r>
    </w:p>
    <w:p w:rsidR="00027A43" w:rsidRPr="00354894" w:rsidRDefault="00027A43" w:rsidP="00027A43">
      <w:pPr>
        <w:jc w:val="both"/>
      </w:pPr>
    </w:p>
    <w:p w:rsidR="00027A43" w:rsidRPr="00354894" w:rsidRDefault="00027A43" w:rsidP="00027A43">
      <w:pPr>
        <w:jc w:val="center"/>
      </w:pPr>
      <w:r w:rsidRPr="00354894">
        <w:rPr>
          <w:b/>
        </w:rPr>
        <w:t>Abstract</w:t>
      </w:r>
    </w:p>
    <w:p w:rsidR="00027A43" w:rsidRPr="00354894" w:rsidRDefault="00027A43" w:rsidP="00027A43">
      <w:pPr>
        <w:jc w:val="both"/>
      </w:pPr>
    </w:p>
    <w:p w:rsidR="00027A43" w:rsidRPr="00354894" w:rsidRDefault="00C23117" w:rsidP="00027A43">
      <w:pPr>
        <w:ind w:left="720" w:right="720"/>
        <w:jc w:val="both"/>
        <w:rPr>
          <w:sz w:val="16"/>
        </w:rPr>
      </w:pPr>
      <w:r w:rsidRPr="00C23117">
        <w:rPr>
          <w:sz w:val="16"/>
        </w:rPr>
        <w:t>As part of its remit, the Administrative Data Research Centre for England is undertaking a programme of methodological research.</w:t>
      </w:r>
      <w:r w:rsidR="005A5A59">
        <w:rPr>
          <w:sz w:val="16"/>
        </w:rPr>
        <w:t xml:space="preserve"> </w:t>
      </w:r>
      <w:r w:rsidRPr="00C23117">
        <w:rPr>
          <w:sz w:val="16"/>
        </w:rPr>
        <w:t xml:space="preserve"> </w:t>
      </w:r>
      <w:r w:rsidR="00C82A74">
        <w:rPr>
          <w:sz w:val="16"/>
        </w:rPr>
        <w:t>I</w:t>
      </w:r>
      <w:r w:rsidR="00D901B5">
        <w:rPr>
          <w:sz w:val="16"/>
        </w:rPr>
        <w:t>n</w:t>
      </w:r>
      <w:r w:rsidR="00C82A74">
        <w:rPr>
          <w:sz w:val="16"/>
        </w:rPr>
        <w:t xml:space="preserve"> this paper I</w:t>
      </w:r>
      <w:r w:rsidRPr="00C23117">
        <w:rPr>
          <w:sz w:val="16"/>
        </w:rPr>
        <w:t xml:space="preserve"> will describe a few examples from this programme including work on: guidance about the information that needs to be made available about the data linkage process by data providers, data linkers, analysts and researchers; a new approach to linkage based upon weights derived using a scaling algorithm; and the representativeness of surveys using a unique data set linking call record paradata from three UK social surveys to census auxiliary attribute i</w:t>
      </w:r>
      <w:r>
        <w:rPr>
          <w:sz w:val="16"/>
        </w:rPr>
        <w:t>nformation on sample households</w:t>
      </w:r>
      <w:r w:rsidR="00027A43" w:rsidRPr="00354894">
        <w:rPr>
          <w:sz w:val="16"/>
        </w:rPr>
        <w:t>.</w:t>
      </w:r>
    </w:p>
    <w:p w:rsidR="00027A43" w:rsidRPr="00C23117" w:rsidRDefault="00027A43" w:rsidP="00027A43">
      <w:pPr>
        <w:ind w:left="720" w:right="720"/>
        <w:jc w:val="both"/>
        <w:rPr>
          <w:sz w:val="16"/>
          <w:lang/>
        </w:rPr>
      </w:pPr>
    </w:p>
    <w:p w:rsidR="00027A43" w:rsidRPr="00354894" w:rsidRDefault="00027A43" w:rsidP="001033B2">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001033B2" w:rsidRPr="001033B2">
        <w:rPr>
          <w:sz w:val="16"/>
        </w:rPr>
        <w:t>ADRC-E; ADRN; GUILD; Record linage; Survey representativeness</w:t>
      </w:r>
      <w:r w:rsidRPr="001033B2">
        <w:rPr>
          <w:sz w:val="16"/>
        </w:rPr>
        <w:t>.</w:t>
      </w:r>
    </w:p>
    <w:p w:rsidR="00027A43" w:rsidRPr="00354894" w:rsidRDefault="00027A43" w:rsidP="00027A43">
      <w:pPr>
        <w:jc w:val="both"/>
      </w:pPr>
    </w:p>
    <w:p w:rsidR="00027A43" w:rsidRPr="00354894" w:rsidRDefault="00027A43" w:rsidP="00027A43">
      <w:pPr>
        <w:jc w:val="both"/>
      </w:pPr>
    </w:p>
    <w:p w:rsidR="00027A43" w:rsidRPr="00354894" w:rsidRDefault="00027A43" w:rsidP="00EB1430">
      <w:pPr>
        <w:jc w:val="center"/>
      </w:pPr>
      <w:r w:rsidRPr="00354894">
        <w:rPr>
          <w:b/>
        </w:rPr>
        <w:t xml:space="preserve">1.  </w:t>
      </w:r>
      <w:r w:rsidR="00EB1430">
        <w:rPr>
          <w:b/>
        </w:rPr>
        <w:t>Outline</w:t>
      </w:r>
    </w:p>
    <w:p w:rsidR="00027A43" w:rsidRPr="00354894" w:rsidRDefault="00027A43" w:rsidP="00027A43">
      <w:pPr>
        <w:jc w:val="both"/>
      </w:pPr>
    </w:p>
    <w:p w:rsidR="00027A43" w:rsidRDefault="00EB1430" w:rsidP="00CB7662">
      <w:pPr>
        <w:jc w:val="both"/>
        <w:rPr>
          <w:sz w:val="20"/>
          <w:szCs w:val="20"/>
        </w:rPr>
      </w:pPr>
      <w:r w:rsidRPr="00EB1430">
        <w:rPr>
          <w:sz w:val="20"/>
          <w:szCs w:val="20"/>
        </w:rPr>
        <w:t xml:space="preserve">I will begin by giving an overview of the </w:t>
      </w:r>
      <w:r>
        <w:rPr>
          <w:sz w:val="20"/>
          <w:szCs w:val="20"/>
        </w:rPr>
        <w:t xml:space="preserve">Administrative Data Research Network (ADRN) </w:t>
      </w:r>
      <w:r w:rsidRPr="00EB1430">
        <w:rPr>
          <w:sz w:val="20"/>
          <w:szCs w:val="20"/>
        </w:rPr>
        <w:t xml:space="preserve">and in particular </w:t>
      </w:r>
      <w:r>
        <w:rPr>
          <w:sz w:val="20"/>
          <w:szCs w:val="20"/>
        </w:rPr>
        <w:t xml:space="preserve">the </w:t>
      </w:r>
      <w:r w:rsidR="00106B1E">
        <w:rPr>
          <w:sz w:val="20"/>
          <w:szCs w:val="20"/>
        </w:rPr>
        <w:t>Administrative Data Research Centre for England (</w:t>
      </w:r>
      <w:r w:rsidRPr="00EB1430">
        <w:rPr>
          <w:sz w:val="20"/>
          <w:szCs w:val="20"/>
        </w:rPr>
        <w:t>ADRC-E</w:t>
      </w:r>
      <w:r w:rsidR="00106B1E">
        <w:rPr>
          <w:sz w:val="20"/>
          <w:szCs w:val="20"/>
        </w:rPr>
        <w:t>)</w:t>
      </w:r>
      <w:r w:rsidRPr="00EB1430">
        <w:rPr>
          <w:sz w:val="20"/>
          <w:szCs w:val="20"/>
        </w:rPr>
        <w:t>, indicating what it is doing to facilitate administrative data research.</w:t>
      </w:r>
      <w:r w:rsidR="005A5A59">
        <w:rPr>
          <w:sz w:val="20"/>
          <w:szCs w:val="20"/>
        </w:rPr>
        <w:t xml:space="preserve"> </w:t>
      </w:r>
      <w:r w:rsidR="00106B1E">
        <w:rPr>
          <w:sz w:val="20"/>
          <w:szCs w:val="20"/>
        </w:rPr>
        <w:t xml:space="preserve"> </w:t>
      </w:r>
      <w:r w:rsidRPr="00EB1430">
        <w:rPr>
          <w:sz w:val="20"/>
          <w:szCs w:val="20"/>
        </w:rPr>
        <w:t xml:space="preserve">I will then briefly describe three projects which </w:t>
      </w:r>
      <w:r w:rsidR="00662876">
        <w:rPr>
          <w:sz w:val="20"/>
          <w:szCs w:val="20"/>
        </w:rPr>
        <w:t xml:space="preserve">are impacting or </w:t>
      </w:r>
      <w:r w:rsidRPr="00EB1430">
        <w:rPr>
          <w:sz w:val="20"/>
          <w:szCs w:val="20"/>
        </w:rPr>
        <w:t xml:space="preserve">have the potential to impact </w:t>
      </w:r>
      <w:r w:rsidRPr="00CB7662">
        <w:rPr>
          <w:sz w:val="20"/>
          <w:szCs w:val="20"/>
        </w:rPr>
        <w:t xml:space="preserve">considerably on administrative data research. </w:t>
      </w:r>
      <w:r w:rsidR="00106B1E" w:rsidRPr="00CB7662">
        <w:rPr>
          <w:sz w:val="20"/>
          <w:szCs w:val="20"/>
        </w:rPr>
        <w:t xml:space="preserve"> </w:t>
      </w:r>
      <w:r w:rsidRPr="00CB7662">
        <w:rPr>
          <w:sz w:val="20"/>
          <w:szCs w:val="20"/>
        </w:rPr>
        <w:t>All three have recently been published</w:t>
      </w:r>
      <w:r w:rsidR="00D901B5" w:rsidRPr="00CB7662">
        <w:rPr>
          <w:sz w:val="20"/>
          <w:szCs w:val="20"/>
        </w:rPr>
        <w:t>,</w:t>
      </w:r>
      <w:r w:rsidRPr="00CB7662">
        <w:rPr>
          <w:sz w:val="20"/>
          <w:szCs w:val="20"/>
        </w:rPr>
        <w:t xml:space="preserve"> so further details on them </w:t>
      </w:r>
      <w:r w:rsidR="00CB7662" w:rsidRPr="00CB7662">
        <w:rPr>
          <w:sz w:val="20"/>
          <w:szCs w:val="20"/>
        </w:rPr>
        <w:t>are readily available</w:t>
      </w:r>
      <w:r w:rsidRPr="00CB7662">
        <w:rPr>
          <w:sz w:val="20"/>
          <w:szCs w:val="20"/>
        </w:rPr>
        <w:t>.</w:t>
      </w:r>
      <w:r w:rsidR="005A5A59">
        <w:rPr>
          <w:sz w:val="20"/>
          <w:szCs w:val="20"/>
        </w:rPr>
        <w:t xml:space="preserve">  </w:t>
      </w:r>
      <w:r w:rsidRPr="00CB7662">
        <w:rPr>
          <w:sz w:val="20"/>
          <w:szCs w:val="20"/>
        </w:rPr>
        <w:t xml:space="preserve">The first </w:t>
      </w:r>
      <w:r w:rsidR="00662876" w:rsidRPr="00CB7662">
        <w:rPr>
          <w:sz w:val="20"/>
          <w:szCs w:val="20"/>
        </w:rPr>
        <w:t xml:space="preserve">project </w:t>
      </w:r>
      <w:r w:rsidRPr="00CB7662">
        <w:rPr>
          <w:sz w:val="20"/>
          <w:szCs w:val="20"/>
        </w:rPr>
        <w:t>present</w:t>
      </w:r>
      <w:r w:rsidR="00106B1E" w:rsidRPr="00CB7662">
        <w:rPr>
          <w:sz w:val="20"/>
          <w:szCs w:val="20"/>
        </w:rPr>
        <w:t>s</w:t>
      </w:r>
      <w:r w:rsidRPr="00CB7662">
        <w:rPr>
          <w:sz w:val="20"/>
          <w:szCs w:val="20"/>
        </w:rPr>
        <w:t xml:space="preserve"> some guidance on the information that should be provided at various stage</w:t>
      </w:r>
      <w:r w:rsidR="009E2009">
        <w:rPr>
          <w:sz w:val="20"/>
          <w:szCs w:val="20"/>
        </w:rPr>
        <w:t>s</w:t>
      </w:r>
      <w:r w:rsidRPr="00EB1430">
        <w:rPr>
          <w:sz w:val="20"/>
          <w:szCs w:val="20"/>
        </w:rPr>
        <w:t xml:space="preserve"> of the data linkage pathway from</w:t>
      </w:r>
      <w:r w:rsidR="00106B1E">
        <w:rPr>
          <w:sz w:val="20"/>
          <w:szCs w:val="20"/>
        </w:rPr>
        <w:t xml:space="preserve"> data collection to reporting. </w:t>
      </w:r>
      <w:r w:rsidR="005A5A59">
        <w:rPr>
          <w:sz w:val="20"/>
          <w:szCs w:val="20"/>
        </w:rPr>
        <w:t xml:space="preserve"> </w:t>
      </w:r>
      <w:r w:rsidRPr="00EB1430">
        <w:rPr>
          <w:sz w:val="20"/>
          <w:szCs w:val="20"/>
        </w:rPr>
        <w:t xml:space="preserve">The second is a new more efficient method for record linkage with the desirable properties of probabilistic methods without some of </w:t>
      </w:r>
      <w:r w:rsidR="00662876">
        <w:rPr>
          <w:sz w:val="20"/>
          <w:szCs w:val="20"/>
        </w:rPr>
        <w:t>their</w:t>
      </w:r>
      <w:r w:rsidRPr="00EB1430">
        <w:rPr>
          <w:sz w:val="20"/>
          <w:szCs w:val="20"/>
        </w:rPr>
        <w:t xml:space="preserve"> drawbacks.</w:t>
      </w:r>
      <w:r w:rsidR="00106B1E">
        <w:rPr>
          <w:sz w:val="20"/>
          <w:szCs w:val="20"/>
        </w:rPr>
        <w:t xml:space="preserve">  </w:t>
      </w:r>
      <w:r w:rsidRPr="00EB1430">
        <w:rPr>
          <w:sz w:val="20"/>
          <w:szCs w:val="20"/>
        </w:rPr>
        <w:t>The third is a piece of research using survey data linked to census data to assess the representativeness of the surveys and how this change</w:t>
      </w:r>
      <w:r w:rsidR="00106B1E">
        <w:rPr>
          <w:sz w:val="20"/>
          <w:szCs w:val="20"/>
        </w:rPr>
        <w:t>s</w:t>
      </w:r>
      <w:r w:rsidRPr="00EB1430">
        <w:rPr>
          <w:sz w:val="20"/>
          <w:szCs w:val="20"/>
        </w:rPr>
        <w:t xml:space="preserve"> as the data are collected.</w:t>
      </w:r>
    </w:p>
    <w:p w:rsidR="00503D49" w:rsidRPr="00106B1E" w:rsidRDefault="00503D49" w:rsidP="00027A43">
      <w:pPr>
        <w:jc w:val="both"/>
      </w:pPr>
    </w:p>
    <w:p w:rsidR="00560849" w:rsidRPr="00560849" w:rsidRDefault="00560849" w:rsidP="00027A43">
      <w:pPr>
        <w:jc w:val="both"/>
        <w:rPr>
          <w:sz w:val="20"/>
          <w:szCs w:val="20"/>
        </w:rPr>
      </w:pPr>
    </w:p>
    <w:p w:rsidR="00027A43" w:rsidRPr="00354894" w:rsidRDefault="00027A43" w:rsidP="00106B1E">
      <w:pPr>
        <w:jc w:val="center"/>
      </w:pPr>
      <w:r w:rsidRPr="00354894">
        <w:rPr>
          <w:b/>
        </w:rPr>
        <w:t xml:space="preserve">2.  </w:t>
      </w:r>
      <w:r w:rsidR="00106B1E" w:rsidRPr="00106B1E">
        <w:rPr>
          <w:b/>
        </w:rPr>
        <w:t>Administrative Data Research Network (ADRN)</w:t>
      </w:r>
    </w:p>
    <w:p w:rsidR="00027A43" w:rsidRPr="00354894" w:rsidRDefault="00027A43" w:rsidP="00027A43">
      <w:pPr>
        <w:jc w:val="both"/>
      </w:pPr>
    </w:p>
    <w:p w:rsidR="00027A43" w:rsidRPr="00456B7C" w:rsidRDefault="00106B1E" w:rsidP="009A7A2F">
      <w:pPr>
        <w:jc w:val="both"/>
        <w:rPr>
          <w:sz w:val="20"/>
          <w:szCs w:val="20"/>
        </w:rPr>
      </w:pPr>
      <w:r w:rsidRPr="00106B1E">
        <w:rPr>
          <w:sz w:val="20"/>
          <w:szCs w:val="20"/>
        </w:rPr>
        <w:t xml:space="preserve">The </w:t>
      </w:r>
      <w:r w:rsidR="00662876">
        <w:rPr>
          <w:sz w:val="20"/>
          <w:szCs w:val="20"/>
        </w:rPr>
        <w:t>ADRN is funded by the Economic and Social Research Council</w:t>
      </w:r>
      <w:r w:rsidR="00A11C66">
        <w:rPr>
          <w:sz w:val="20"/>
          <w:szCs w:val="20"/>
        </w:rPr>
        <w:t xml:space="preserve"> (ESRC)</w:t>
      </w:r>
      <w:r w:rsidR="00662876">
        <w:rPr>
          <w:sz w:val="20"/>
          <w:szCs w:val="20"/>
        </w:rPr>
        <w:t xml:space="preserve"> and was instigated in 2013. The </w:t>
      </w:r>
      <w:r w:rsidRPr="00106B1E">
        <w:rPr>
          <w:sz w:val="20"/>
          <w:szCs w:val="20"/>
        </w:rPr>
        <w:t>setting-up of the ADRN was a recommendation o</w:t>
      </w:r>
      <w:r w:rsidR="009A7A2F">
        <w:rPr>
          <w:sz w:val="20"/>
          <w:szCs w:val="20"/>
        </w:rPr>
        <w:t>f the Administrative Data Taskf</w:t>
      </w:r>
      <w:r w:rsidRPr="00106B1E">
        <w:rPr>
          <w:sz w:val="20"/>
          <w:szCs w:val="20"/>
        </w:rPr>
        <w:t>orce (</w:t>
      </w:r>
      <w:r w:rsidR="009A7A2F">
        <w:rPr>
          <w:sz w:val="20"/>
          <w:szCs w:val="20"/>
        </w:rPr>
        <w:t>2012</w:t>
      </w:r>
      <w:r w:rsidRPr="00106B1E">
        <w:rPr>
          <w:sz w:val="20"/>
          <w:szCs w:val="20"/>
        </w:rPr>
        <w:t xml:space="preserve">). </w:t>
      </w:r>
      <w:r w:rsidR="005A5A59">
        <w:rPr>
          <w:sz w:val="20"/>
          <w:szCs w:val="20"/>
        </w:rPr>
        <w:t xml:space="preserve"> </w:t>
      </w:r>
      <w:r w:rsidRPr="00106B1E">
        <w:rPr>
          <w:sz w:val="20"/>
          <w:szCs w:val="20"/>
        </w:rPr>
        <w:t>They recommend</w:t>
      </w:r>
      <w:r w:rsidR="00F574B0">
        <w:rPr>
          <w:sz w:val="20"/>
          <w:szCs w:val="20"/>
        </w:rPr>
        <w:t>ed</w:t>
      </w:r>
      <w:r w:rsidRPr="00106B1E">
        <w:rPr>
          <w:sz w:val="20"/>
          <w:szCs w:val="20"/>
        </w:rPr>
        <w:t xml:space="preserve"> a centre in each </w:t>
      </w:r>
      <w:r>
        <w:rPr>
          <w:sz w:val="20"/>
          <w:szCs w:val="20"/>
        </w:rPr>
        <w:t>of the four count</w:t>
      </w:r>
      <w:r w:rsidR="009E2009">
        <w:rPr>
          <w:sz w:val="20"/>
          <w:szCs w:val="20"/>
        </w:rPr>
        <w:t>r</w:t>
      </w:r>
      <w:r>
        <w:rPr>
          <w:sz w:val="20"/>
          <w:szCs w:val="20"/>
        </w:rPr>
        <w:t>ies</w:t>
      </w:r>
      <w:r w:rsidRPr="00106B1E">
        <w:rPr>
          <w:sz w:val="20"/>
          <w:szCs w:val="20"/>
        </w:rPr>
        <w:t xml:space="preserve"> of the UK, because of their different administrative data environments. </w:t>
      </w:r>
      <w:r>
        <w:rPr>
          <w:sz w:val="20"/>
          <w:szCs w:val="20"/>
        </w:rPr>
        <w:t xml:space="preserve"> </w:t>
      </w:r>
      <w:r w:rsidRPr="00106B1E">
        <w:rPr>
          <w:sz w:val="20"/>
          <w:szCs w:val="20"/>
        </w:rPr>
        <w:t xml:space="preserve">The Network also contains the </w:t>
      </w:r>
      <w:r w:rsidR="00F574B0">
        <w:rPr>
          <w:sz w:val="20"/>
          <w:szCs w:val="20"/>
        </w:rPr>
        <w:t>Administrative Data Service (</w:t>
      </w:r>
      <w:r w:rsidRPr="00106B1E">
        <w:rPr>
          <w:sz w:val="20"/>
          <w:szCs w:val="20"/>
        </w:rPr>
        <w:t>ADS</w:t>
      </w:r>
      <w:r w:rsidR="00F574B0">
        <w:rPr>
          <w:sz w:val="20"/>
          <w:szCs w:val="20"/>
        </w:rPr>
        <w:t>)</w:t>
      </w:r>
      <w:r w:rsidR="00D901B5">
        <w:rPr>
          <w:sz w:val="20"/>
          <w:szCs w:val="20"/>
        </w:rPr>
        <w:t>,</w:t>
      </w:r>
      <w:r w:rsidRPr="00106B1E">
        <w:rPr>
          <w:sz w:val="20"/>
          <w:szCs w:val="20"/>
        </w:rPr>
        <w:t xml:space="preserve"> which has a co-ordinating role</w:t>
      </w:r>
      <w:r>
        <w:rPr>
          <w:sz w:val="20"/>
          <w:szCs w:val="20"/>
        </w:rPr>
        <w:t xml:space="preserve">, being a central </w:t>
      </w:r>
      <w:r w:rsidR="00F574B0">
        <w:rPr>
          <w:sz w:val="20"/>
          <w:szCs w:val="20"/>
        </w:rPr>
        <w:t>point</w:t>
      </w:r>
      <w:r>
        <w:rPr>
          <w:sz w:val="20"/>
          <w:szCs w:val="20"/>
        </w:rPr>
        <w:t xml:space="preserve"> of entry for researcher</w:t>
      </w:r>
      <w:r w:rsidR="00F574B0">
        <w:rPr>
          <w:sz w:val="20"/>
          <w:szCs w:val="20"/>
        </w:rPr>
        <w:t xml:space="preserve">s, leading on </w:t>
      </w:r>
      <w:r>
        <w:rPr>
          <w:sz w:val="20"/>
          <w:szCs w:val="20"/>
        </w:rPr>
        <w:t xml:space="preserve">public engagement, </w:t>
      </w:r>
      <w:r w:rsidR="00F574B0">
        <w:rPr>
          <w:sz w:val="20"/>
          <w:szCs w:val="20"/>
        </w:rPr>
        <w:t xml:space="preserve">outreach, policies and procedures, and hosting the ADRN website. </w:t>
      </w:r>
      <w:r w:rsidR="00404798">
        <w:rPr>
          <w:sz w:val="20"/>
          <w:szCs w:val="20"/>
        </w:rPr>
        <w:t xml:space="preserve"> </w:t>
      </w:r>
      <w:r w:rsidR="00F574B0">
        <w:rPr>
          <w:sz w:val="20"/>
          <w:szCs w:val="20"/>
        </w:rPr>
        <w:t>Each C</w:t>
      </w:r>
      <w:r w:rsidRPr="00106B1E">
        <w:rPr>
          <w:sz w:val="20"/>
          <w:szCs w:val="20"/>
        </w:rPr>
        <w:t xml:space="preserve">entre is </w:t>
      </w:r>
      <w:r w:rsidR="00F574B0">
        <w:rPr>
          <w:sz w:val="20"/>
          <w:szCs w:val="20"/>
        </w:rPr>
        <w:t xml:space="preserve">also </w:t>
      </w:r>
      <w:r w:rsidRPr="00106B1E">
        <w:rPr>
          <w:sz w:val="20"/>
          <w:szCs w:val="20"/>
        </w:rPr>
        <w:t>a partnership between academic institutions and nat</w:t>
      </w:r>
      <w:r w:rsidR="00F574B0">
        <w:rPr>
          <w:sz w:val="20"/>
          <w:szCs w:val="20"/>
        </w:rPr>
        <w:t>ional statistical organisations</w:t>
      </w:r>
      <w:r w:rsidR="00027A43" w:rsidRPr="00D64E36">
        <w:rPr>
          <w:sz w:val="20"/>
          <w:szCs w:val="20"/>
        </w:rPr>
        <w:t>.</w:t>
      </w:r>
    </w:p>
    <w:p w:rsidR="00560849" w:rsidRDefault="00560849" w:rsidP="00560849">
      <w:pPr>
        <w:rPr>
          <w:b/>
        </w:rPr>
      </w:pPr>
    </w:p>
    <w:p w:rsidR="00027A43" w:rsidRDefault="00560849" w:rsidP="00106B1E">
      <w:pPr>
        <w:jc w:val="center"/>
        <w:rPr>
          <w:b/>
        </w:rPr>
      </w:pPr>
      <w:r>
        <w:rPr>
          <w:b/>
        </w:rPr>
        <w:br/>
      </w:r>
      <w:r w:rsidR="00027A43" w:rsidRPr="00354894">
        <w:rPr>
          <w:b/>
        </w:rPr>
        <w:t>3.</w:t>
      </w:r>
      <w:r w:rsidR="00C82A74">
        <w:rPr>
          <w:b/>
        </w:rPr>
        <w:t xml:space="preserve"> </w:t>
      </w:r>
      <w:r w:rsidR="00027A43" w:rsidRPr="00354894">
        <w:rPr>
          <w:b/>
        </w:rPr>
        <w:t xml:space="preserve"> </w:t>
      </w:r>
      <w:proofErr w:type="gramStart"/>
      <w:r w:rsidR="00106B1E">
        <w:rPr>
          <w:b/>
        </w:rPr>
        <w:t>About</w:t>
      </w:r>
      <w:proofErr w:type="gramEnd"/>
      <w:r w:rsidR="00106B1E">
        <w:rPr>
          <w:b/>
        </w:rPr>
        <w:t xml:space="preserve"> the Administrative Data Research Centre for England (ADRC-E)</w:t>
      </w:r>
    </w:p>
    <w:p w:rsidR="00106B1E" w:rsidRDefault="00106B1E" w:rsidP="00027A43">
      <w:pPr>
        <w:jc w:val="center"/>
        <w:rPr>
          <w:b/>
        </w:rPr>
      </w:pPr>
    </w:p>
    <w:p w:rsidR="00456B7C" w:rsidRPr="004F4BE7" w:rsidRDefault="00456B7C" w:rsidP="004F4BE7">
      <w:pPr>
        <w:jc w:val="both"/>
        <w:rPr>
          <w:sz w:val="20"/>
          <w:szCs w:val="20"/>
        </w:rPr>
      </w:pPr>
      <w:r w:rsidRPr="00B007A3">
        <w:rPr>
          <w:sz w:val="20"/>
          <w:szCs w:val="20"/>
        </w:rPr>
        <w:t>The ADRC-E is led by the University of Southampton (</w:t>
      </w:r>
      <w:proofErr w:type="spellStart"/>
      <w:r w:rsidRPr="00B007A3">
        <w:rPr>
          <w:sz w:val="20"/>
          <w:szCs w:val="20"/>
        </w:rPr>
        <w:t>UoS</w:t>
      </w:r>
      <w:proofErr w:type="spellEnd"/>
      <w:r w:rsidRPr="00B007A3">
        <w:rPr>
          <w:sz w:val="20"/>
          <w:szCs w:val="20"/>
        </w:rPr>
        <w:t>) and run in collaboration with University College London</w:t>
      </w:r>
      <w:r w:rsidR="00404798" w:rsidRPr="00B007A3">
        <w:rPr>
          <w:sz w:val="20"/>
          <w:szCs w:val="20"/>
        </w:rPr>
        <w:t xml:space="preserve"> (UC</w:t>
      </w:r>
      <w:r w:rsidRPr="00B007A3">
        <w:rPr>
          <w:sz w:val="20"/>
          <w:szCs w:val="20"/>
        </w:rPr>
        <w:t>L), the London School of Hygiene and Tropical Medicine, the Institute for Fiscal Studies and the Office for National Statistics</w:t>
      </w:r>
      <w:r w:rsidR="00D901B5">
        <w:rPr>
          <w:sz w:val="20"/>
          <w:szCs w:val="20"/>
        </w:rPr>
        <w:t xml:space="preserve"> (ONS)</w:t>
      </w:r>
      <w:r w:rsidRPr="00B007A3">
        <w:rPr>
          <w:sz w:val="20"/>
          <w:szCs w:val="20"/>
        </w:rPr>
        <w:t>, with the three London institutions collectively known by the consortium as the Bloomsbury Group.</w:t>
      </w:r>
      <w:r w:rsidR="005A5A59">
        <w:rPr>
          <w:sz w:val="20"/>
          <w:szCs w:val="20"/>
        </w:rPr>
        <w:t xml:space="preserve"> </w:t>
      </w:r>
      <w:r w:rsidRPr="00B007A3">
        <w:rPr>
          <w:sz w:val="20"/>
          <w:szCs w:val="20"/>
        </w:rPr>
        <w:t xml:space="preserve"> </w:t>
      </w:r>
      <w:r w:rsidR="00B007A3" w:rsidRPr="00B007A3">
        <w:rPr>
          <w:sz w:val="20"/>
          <w:szCs w:val="20"/>
        </w:rPr>
        <w:t>I</w:t>
      </w:r>
      <w:r w:rsidRPr="00B007A3">
        <w:rPr>
          <w:sz w:val="20"/>
          <w:szCs w:val="20"/>
        </w:rPr>
        <w:t>ts Director is Peter Smith (</w:t>
      </w:r>
      <w:proofErr w:type="spellStart"/>
      <w:r w:rsidRPr="00B007A3">
        <w:rPr>
          <w:sz w:val="20"/>
          <w:szCs w:val="20"/>
        </w:rPr>
        <w:t>UoS</w:t>
      </w:r>
      <w:proofErr w:type="spellEnd"/>
      <w:r w:rsidRPr="00B007A3">
        <w:rPr>
          <w:sz w:val="20"/>
          <w:szCs w:val="20"/>
        </w:rPr>
        <w:t>)</w:t>
      </w:r>
      <w:r w:rsidR="00404798" w:rsidRPr="00B007A3">
        <w:rPr>
          <w:sz w:val="20"/>
          <w:szCs w:val="20"/>
        </w:rPr>
        <w:t>,</w:t>
      </w:r>
      <w:r w:rsidRPr="00B007A3">
        <w:rPr>
          <w:sz w:val="20"/>
          <w:szCs w:val="20"/>
        </w:rPr>
        <w:t xml:space="preserve"> with </w:t>
      </w:r>
      <w:r w:rsidR="00EA5C62">
        <w:rPr>
          <w:sz w:val="20"/>
          <w:szCs w:val="20"/>
        </w:rPr>
        <w:t xml:space="preserve">a </w:t>
      </w:r>
      <w:r w:rsidRPr="00B007A3">
        <w:rPr>
          <w:sz w:val="20"/>
          <w:szCs w:val="20"/>
        </w:rPr>
        <w:t>Deputy Direct</w:t>
      </w:r>
      <w:r w:rsidR="00EA5C62">
        <w:rPr>
          <w:sz w:val="20"/>
          <w:szCs w:val="20"/>
        </w:rPr>
        <w:t>or</w:t>
      </w:r>
      <w:r w:rsidRPr="00B007A3">
        <w:rPr>
          <w:sz w:val="20"/>
          <w:szCs w:val="20"/>
        </w:rPr>
        <w:t xml:space="preserve"> </w:t>
      </w:r>
      <w:r w:rsidR="00EA5C62">
        <w:rPr>
          <w:sz w:val="20"/>
          <w:szCs w:val="20"/>
        </w:rPr>
        <w:t xml:space="preserve">based in each of the three groups: </w:t>
      </w:r>
      <w:proofErr w:type="spellStart"/>
      <w:r w:rsidR="00EA5C62">
        <w:rPr>
          <w:sz w:val="20"/>
          <w:szCs w:val="20"/>
        </w:rPr>
        <w:t>UoS</w:t>
      </w:r>
      <w:proofErr w:type="spellEnd"/>
      <w:r w:rsidR="00EA5C62">
        <w:rPr>
          <w:sz w:val="20"/>
          <w:szCs w:val="20"/>
        </w:rPr>
        <w:t xml:space="preserve">, Bloomsbury and ONS.  They are </w:t>
      </w:r>
      <w:r w:rsidRPr="00B007A3">
        <w:rPr>
          <w:sz w:val="20"/>
          <w:szCs w:val="20"/>
        </w:rPr>
        <w:t>Dave Martin (</w:t>
      </w:r>
      <w:proofErr w:type="spellStart"/>
      <w:r w:rsidRPr="00B007A3">
        <w:rPr>
          <w:sz w:val="20"/>
          <w:szCs w:val="20"/>
        </w:rPr>
        <w:t>UoS</w:t>
      </w:r>
      <w:proofErr w:type="spellEnd"/>
      <w:r w:rsidRPr="00B007A3">
        <w:rPr>
          <w:sz w:val="20"/>
          <w:szCs w:val="20"/>
        </w:rPr>
        <w:t>), Ruth Gilbert (UCL) and Lucy Vickers (ONS)</w:t>
      </w:r>
      <w:r w:rsidR="00EA5C62">
        <w:rPr>
          <w:sz w:val="20"/>
          <w:szCs w:val="20"/>
        </w:rPr>
        <w:t>; d</w:t>
      </w:r>
      <w:r w:rsidR="00662876">
        <w:rPr>
          <w:sz w:val="20"/>
          <w:szCs w:val="20"/>
        </w:rPr>
        <w:t xml:space="preserve">ay-to-day operations are overseen by an </w:t>
      </w:r>
      <w:r w:rsidR="00320472" w:rsidRPr="00B007A3">
        <w:rPr>
          <w:sz w:val="20"/>
          <w:szCs w:val="20"/>
        </w:rPr>
        <w:t>Assistant Director (Operations)</w:t>
      </w:r>
      <w:r w:rsidR="00662876">
        <w:rPr>
          <w:sz w:val="20"/>
          <w:szCs w:val="20"/>
        </w:rPr>
        <w:t>,</w:t>
      </w:r>
      <w:r w:rsidRPr="00B007A3">
        <w:rPr>
          <w:sz w:val="20"/>
          <w:szCs w:val="20"/>
        </w:rPr>
        <w:t xml:space="preserve"> Emma White (</w:t>
      </w:r>
      <w:proofErr w:type="spellStart"/>
      <w:r w:rsidRPr="00B007A3">
        <w:rPr>
          <w:sz w:val="20"/>
          <w:szCs w:val="20"/>
        </w:rPr>
        <w:t>UoS</w:t>
      </w:r>
      <w:proofErr w:type="spellEnd"/>
      <w:r w:rsidRPr="00B007A3">
        <w:rPr>
          <w:sz w:val="20"/>
          <w:szCs w:val="20"/>
        </w:rPr>
        <w:t>)</w:t>
      </w:r>
      <w:r w:rsidR="00320472" w:rsidRPr="00B007A3">
        <w:rPr>
          <w:sz w:val="20"/>
          <w:szCs w:val="20"/>
        </w:rPr>
        <w:t>.</w:t>
      </w:r>
    </w:p>
    <w:p w:rsidR="00106B1E" w:rsidRDefault="00106B1E" w:rsidP="00106B1E">
      <w:pPr>
        <w:jc w:val="center"/>
        <w:rPr>
          <w:b/>
        </w:rPr>
      </w:pPr>
      <w:r>
        <w:rPr>
          <w:b/>
        </w:rPr>
        <w:lastRenderedPageBreak/>
        <w:t>4</w:t>
      </w:r>
      <w:r w:rsidRPr="00354894">
        <w:rPr>
          <w:b/>
        </w:rPr>
        <w:t xml:space="preserve">. </w:t>
      </w:r>
      <w:r w:rsidR="00C82A74">
        <w:rPr>
          <w:b/>
        </w:rPr>
        <w:t xml:space="preserve"> </w:t>
      </w:r>
      <w:r>
        <w:rPr>
          <w:b/>
        </w:rPr>
        <w:t>The other parts of the Network</w:t>
      </w:r>
    </w:p>
    <w:p w:rsidR="00106B1E" w:rsidRDefault="00106B1E" w:rsidP="00106B1E">
      <w:pPr>
        <w:jc w:val="center"/>
        <w:rPr>
          <w:b/>
        </w:rPr>
      </w:pPr>
    </w:p>
    <w:p w:rsidR="00897466" w:rsidRPr="00404798" w:rsidRDefault="005B3CEC" w:rsidP="00931B27">
      <w:pPr>
        <w:jc w:val="both"/>
        <w:rPr>
          <w:bCs/>
          <w:sz w:val="20"/>
          <w:szCs w:val="20"/>
          <w:lang w:val="en-GB"/>
        </w:rPr>
      </w:pPr>
      <w:r>
        <w:rPr>
          <w:bCs/>
          <w:sz w:val="20"/>
          <w:szCs w:val="20"/>
          <w:lang w:val="en-GB"/>
        </w:rPr>
        <w:t>The ADS is led by</w:t>
      </w:r>
      <w:r w:rsidR="00B007A3">
        <w:rPr>
          <w:bCs/>
          <w:sz w:val="20"/>
          <w:szCs w:val="20"/>
          <w:lang w:val="en-GB"/>
        </w:rPr>
        <w:t xml:space="preserve"> the University of Essex and </w:t>
      </w:r>
      <w:r w:rsidR="00B007A3" w:rsidRPr="00456B7C">
        <w:rPr>
          <w:bCs/>
          <w:sz w:val="20"/>
          <w:szCs w:val="20"/>
          <w:lang w:val="en-GB"/>
        </w:rPr>
        <w:t>run in collaboration with</w:t>
      </w:r>
      <w:r w:rsidR="00404798" w:rsidRPr="00404798">
        <w:rPr>
          <w:bCs/>
          <w:sz w:val="20"/>
          <w:szCs w:val="20"/>
          <w:lang w:val="en-GB"/>
        </w:rPr>
        <w:t xml:space="preserve"> </w:t>
      </w:r>
      <w:r w:rsidR="00B007A3">
        <w:rPr>
          <w:bCs/>
          <w:sz w:val="20"/>
          <w:szCs w:val="20"/>
          <w:lang w:val="en-GB"/>
        </w:rPr>
        <w:t>the Universities of Manchester and Oxford, with a</w:t>
      </w:r>
      <w:r w:rsidR="00404798" w:rsidRPr="00404798">
        <w:rPr>
          <w:bCs/>
          <w:sz w:val="20"/>
          <w:szCs w:val="20"/>
          <w:lang w:val="en-GB"/>
        </w:rPr>
        <w:t>cting Direc</w:t>
      </w:r>
      <w:r w:rsidR="00B007A3">
        <w:rPr>
          <w:bCs/>
          <w:sz w:val="20"/>
          <w:szCs w:val="20"/>
          <w:lang w:val="en-GB"/>
        </w:rPr>
        <w:t xml:space="preserve">tor </w:t>
      </w:r>
      <w:r w:rsidR="00404798" w:rsidRPr="00404798">
        <w:rPr>
          <w:bCs/>
          <w:sz w:val="20"/>
          <w:szCs w:val="20"/>
          <w:lang w:val="en-GB"/>
        </w:rPr>
        <w:t>Tanvi Desai</w:t>
      </w:r>
      <w:r w:rsidR="00B007A3">
        <w:rPr>
          <w:bCs/>
          <w:sz w:val="20"/>
          <w:szCs w:val="20"/>
          <w:lang w:val="en-GB"/>
        </w:rPr>
        <w:t xml:space="preserve">.  ADRC Northern Ireland is led by Queen’s </w:t>
      </w:r>
      <w:r w:rsidR="004270FA">
        <w:rPr>
          <w:bCs/>
          <w:sz w:val="20"/>
          <w:szCs w:val="20"/>
          <w:lang w:val="en-GB"/>
        </w:rPr>
        <w:t xml:space="preserve">University </w:t>
      </w:r>
      <w:r w:rsidR="00B007A3">
        <w:rPr>
          <w:bCs/>
          <w:sz w:val="20"/>
          <w:szCs w:val="20"/>
          <w:lang w:val="en-GB"/>
        </w:rPr>
        <w:t>Belfast and run in collaboration with University of Ulster and the</w:t>
      </w:r>
      <w:r w:rsidR="00404798" w:rsidRPr="00404798">
        <w:rPr>
          <w:bCs/>
          <w:sz w:val="20"/>
          <w:szCs w:val="20"/>
          <w:lang w:val="en-GB"/>
        </w:rPr>
        <w:t xml:space="preserve"> Northern Irelan</w:t>
      </w:r>
      <w:r w:rsidR="00B007A3">
        <w:rPr>
          <w:bCs/>
          <w:sz w:val="20"/>
          <w:szCs w:val="20"/>
          <w:lang w:val="en-GB"/>
        </w:rPr>
        <w:t xml:space="preserve">d Statistical Research Agency. </w:t>
      </w:r>
      <w:r w:rsidR="005A5A59">
        <w:rPr>
          <w:bCs/>
          <w:sz w:val="20"/>
          <w:szCs w:val="20"/>
          <w:lang w:val="en-GB"/>
        </w:rPr>
        <w:t xml:space="preserve"> </w:t>
      </w:r>
      <w:r w:rsidR="00B007A3">
        <w:rPr>
          <w:bCs/>
          <w:sz w:val="20"/>
          <w:szCs w:val="20"/>
          <w:lang w:val="en-GB"/>
        </w:rPr>
        <w:t>Its Director is</w:t>
      </w:r>
      <w:r w:rsidR="00404798" w:rsidRPr="00404798">
        <w:rPr>
          <w:bCs/>
          <w:sz w:val="20"/>
          <w:szCs w:val="20"/>
          <w:lang w:val="en-GB"/>
        </w:rPr>
        <w:t xml:space="preserve"> Dermot O’Reilly</w:t>
      </w:r>
      <w:r w:rsidR="00B007A3">
        <w:rPr>
          <w:bCs/>
          <w:sz w:val="20"/>
          <w:szCs w:val="20"/>
          <w:lang w:val="en-GB"/>
        </w:rPr>
        <w:t xml:space="preserve">.  </w:t>
      </w:r>
      <w:r w:rsidR="00404798" w:rsidRPr="00404798">
        <w:rPr>
          <w:bCs/>
          <w:sz w:val="20"/>
          <w:szCs w:val="20"/>
          <w:lang w:val="en-GB"/>
        </w:rPr>
        <w:t>ADRC Scotland</w:t>
      </w:r>
      <w:r w:rsidR="00B007A3">
        <w:rPr>
          <w:bCs/>
          <w:sz w:val="20"/>
          <w:szCs w:val="20"/>
          <w:lang w:val="en-GB"/>
        </w:rPr>
        <w:t xml:space="preserve"> is led by the University of </w:t>
      </w:r>
      <w:r w:rsidR="00B007A3" w:rsidRPr="00404798">
        <w:rPr>
          <w:bCs/>
          <w:sz w:val="20"/>
          <w:szCs w:val="20"/>
          <w:lang w:val="en-GB"/>
        </w:rPr>
        <w:t>Edinburgh</w:t>
      </w:r>
      <w:r w:rsidR="00B007A3">
        <w:rPr>
          <w:bCs/>
          <w:sz w:val="20"/>
          <w:szCs w:val="20"/>
          <w:lang w:val="en-GB"/>
        </w:rPr>
        <w:t xml:space="preserve"> and run in collaboration with the Universities of</w:t>
      </w:r>
      <w:r w:rsidR="00404798" w:rsidRPr="00404798">
        <w:rPr>
          <w:bCs/>
          <w:sz w:val="20"/>
          <w:szCs w:val="20"/>
          <w:lang w:val="en-GB"/>
        </w:rPr>
        <w:t xml:space="preserve"> Aberdeen, Dundee, Glasgow</w:t>
      </w:r>
      <w:r w:rsidR="00B007A3">
        <w:rPr>
          <w:bCs/>
          <w:sz w:val="20"/>
          <w:szCs w:val="20"/>
          <w:lang w:val="en-GB"/>
        </w:rPr>
        <w:t>,</w:t>
      </w:r>
      <w:r w:rsidR="00404798" w:rsidRPr="00404798">
        <w:rPr>
          <w:bCs/>
          <w:sz w:val="20"/>
          <w:szCs w:val="20"/>
          <w:lang w:val="en-GB"/>
        </w:rPr>
        <w:t xml:space="preserve"> Herr</w:t>
      </w:r>
      <w:r w:rsidR="00B007A3">
        <w:rPr>
          <w:bCs/>
          <w:sz w:val="20"/>
          <w:szCs w:val="20"/>
          <w:lang w:val="en-GB"/>
        </w:rPr>
        <w:t>iot-Watt, St. Andrews and Stirling, and</w:t>
      </w:r>
      <w:r w:rsidR="00404798" w:rsidRPr="00404798">
        <w:rPr>
          <w:bCs/>
          <w:sz w:val="20"/>
          <w:szCs w:val="20"/>
          <w:lang w:val="en-GB"/>
        </w:rPr>
        <w:t xml:space="preserve"> Scottish Gove</w:t>
      </w:r>
      <w:r w:rsidR="00B007A3">
        <w:rPr>
          <w:bCs/>
          <w:sz w:val="20"/>
          <w:szCs w:val="20"/>
          <w:lang w:val="en-GB"/>
        </w:rPr>
        <w:t xml:space="preserve">rnment. </w:t>
      </w:r>
      <w:r w:rsidR="005A5A59">
        <w:rPr>
          <w:bCs/>
          <w:sz w:val="20"/>
          <w:szCs w:val="20"/>
          <w:lang w:val="en-GB"/>
        </w:rPr>
        <w:t xml:space="preserve"> </w:t>
      </w:r>
      <w:r w:rsidR="00B007A3">
        <w:rPr>
          <w:bCs/>
          <w:sz w:val="20"/>
          <w:szCs w:val="20"/>
          <w:lang w:val="en-GB"/>
        </w:rPr>
        <w:t>Its Director is</w:t>
      </w:r>
      <w:r w:rsidR="00404798" w:rsidRPr="00404798">
        <w:rPr>
          <w:bCs/>
          <w:sz w:val="20"/>
          <w:szCs w:val="20"/>
          <w:lang w:val="en-GB"/>
        </w:rPr>
        <w:t xml:space="preserve"> Chris Dibben</w:t>
      </w:r>
      <w:r w:rsidR="00B007A3">
        <w:rPr>
          <w:bCs/>
          <w:sz w:val="20"/>
          <w:szCs w:val="20"/>
          <w:lang w:val="en-GB"/>
        </w:rPr>
        <w:t xml:space="preserve">.  ADRC Wales is led by </w:t>
      </w:r>
      <w:r w:rsidR="00404798" w:rsidRPr="00404798">
        <w:rPr>
          <w:bCs/>
          <w:sz w:val="20"/>
          <w:szCs w:val="20"/>
          <w:lang w:val="en-GB"/>
        </w:rPr>
        <w:t>Swansea</w:t>
      </w:r>
      <w:r w:rsidR="00B007A3">
        <w:rPr>
          <w:bCs/>
          <w:sz w:val="20"/>
          <w:szCs w:val="20"/>
          <w:lang w:val="en-GB"/>
        </w:rPr>
        <w:t xml:space="preserve"> University and run in collaboration with Cardiff University and Welsh Government.  It</w:t>
      </w:r>
      <w:r>
        <w:rPr>
          <w:bCs/>
          <w:sz w:val="20"/>
          <w:szCs w:val="20"/>
          <w:lang w:val="en-GB"/>
        </w:rPr>
        <w:t>s</w:t>
      </w:r>
      <w:r w:rsidR="00B007A3">
        <w:rPr>
          <w:bCs/>
          <w:sz w:val="20"/>
          <w:szCs w:val="20"/>
          <w:lang w:val="en-GB"/>
        </w:rPr>
        <w:t xml:space="preserve"> Director is</w:t>
      </w:r>
      <w:r w:rsidR="00404798" w:rsidRPr="00404798">
        <w:rPr>
          <w:bCs/>
          <w:sz w:val="20"/>
          <w:szCs w:val="20"/>
          <w:lang w:val="en-GB"/>
        </w:rPr>
        <w:t xml:space="preserve"> David Ford</w:t>
      </w:r>
      <w:r w:rsidR="00B007A3">
        <w:rPr>
          <w:bCs/>
          <w:sz w:val="20"/>
          <w:szCs w:val="20"/>
          <w:lang w:val="en-GB"/>
        </w:rPr>
        <w:t>.</w:t>
      </w:r>
    </w:p>
    <w:p w:rsidR="00404798" w:rsidRPr="00897466" w:rsidRDefault="00404798" w:rsidP="00404798">
      <w:pPr>
        <w:jc w:val="both"/>
        <w:rPr>
          <w:b/>
          <w:lang w:val="en-GB"/>
        </w:rPr>
      </w:pPr>
    </w:p>
    <w:p w:rsidR="00897466" w:rsidRPr="00897466" w:rsidRDefault="00897466" w:rsidP="00404798">
      <w:pPr>
        <w:jc w:val="both"/>
        <w:rPr>
          <w:b/>
          <w:lang w:val="en-GB"/>
        </w:rPr>
      </w:pPr>
    </w:p>
    <w:p w:rsidR="00106B1E" w:rsidRPr="00354894" w:rsidRDefault="00106B1E" w:rsidP="00106B1E">
      <w:pPr>
        <w:jc w:val="center"/>
        <w:rPr>
          <w:b/>
        </w:rPr>
      </w:pPr>
      <w:r>
        <w:rPr>
          <w:b/>
        </w:rPr>
        <w:t>5</w:t>
      </w:r>
      <w:r w:rsidRPr="00354894">
        <w:rPr>
          <w:b/>
        </w:rPr>
        <w:t xml:space="preserve">. </w:t>
      </w:r>
      <w:r w:rsidR="006B75C6">
        <w:rPr>
          <w:b/>
        </w:rPr>
        <w:t xml:space="preserve"> </w:t>
      </w:r>
      <w:r>
        <w:rPr>
          <w:b/>
        </w:rPr>
        <w:t>Administrative Data Research Centres</w:t>
      </w:r>
    </w:p>
    <w:p w:rsidR="00027A43" w:rsidRDefault="00027A43" w:rsidP="00027A43">
      <w:pPr>
        <w:jc w:val="both"/>
      </w:pPr>
    </w:p>
    <w:p w:rsidR="00662876" w:rsidRDefault="00662876" w:rsidP="00662876">
      <w:pPr>
        <w:jc w:val="both"/>
        <w:rPr>
          <w:sz w:val="20"/>
          <w:szCs w:val="20"/>
          <w:lang w:val="en-GB"/>
        </w:rPr>
      </w:pPr>
      <w:r w:rsidRPr="00662876">
        <w:rPr>
          <w:sz w:val="20"/>
          <w:szCs w:val="20"/>
          <w:lang w:val="en-GB"/>
        </w:rPr>
        <w:t>As part of their remit, Administrative Data Research Centres are required to</w:t>
      </w:r>
      <w:r>
        <w:rPr>
          <w:sz w:val="20"/>
          <w:szCs w:val="20"/>
          <w:lang w:val="en-GB"/>
        </w:rPr>
        <w:t>:</w:t>
      </w:r>
    </w:p>
    <w:p w:rsidR="00662876" w:rsidRPr="00662876" w:rsidRDefault="00662876" w:rsidP="00662876">
      <w:pPr>
        <w:jc w:val="both"/>
        <w:rPr>
          <w:sz w:val="20"/>
          <w:szCs w:val="20"/>
          <w:lang w:val="en-GB"/>
        </w:rPr>
      </w:pPr>
      <w:r w:rsidRPr="00662876">
        <w:rPr>
          <w:sz w:val="20"/>
          <w:szCs w:val="20"/>
          <w:lang w:val="en-GB"/>
        </w:rPr>
        <w:t xml:space="preserve"> </w:t>
      </w:r>
    </w:p>
    <w:p w:rsidR="00662876" w:rsidRPr="00002FFB" w:rsidRDefault="00662876" w:rsidP="00EF31B0">
      <w:pPr>
        <w:pStyle w:val="ListParagraph"/>
        <w:numPr>
          <w:ilvl w:val="0"/>
          <w:numId w:val="2"/>
        </w:numPr>
        <w:ind w:left="714" w:hanging="357"/>
        <w:jc w:val="both"/>
        <w:rPr>
          <w:sz w:val="20"/>
          <w:szCs w:val="20"/>
          <w:lang w:val="en-GB"/>
        </w:rPr>
      </w:pPr>
      <w:r w:rsidRPr="00002FFB">
        <w:rPr>
          <w:sz w:val="20"/>
          <w:szCs w:val="20"/>
          <w:lang w:val="en-GB"/>
        </w:rPr>
        <w:t xml:space="preserve">Provide state-of-the-art facilities for research access to de-identified administrative data by accredited researchers. </w:t>
      </w:r>
    </w:p>
    <w:p w:rsidR="00662876" w:rsidRPr="00662876" w:rsidRDefault="00662876" w:rsidP="00662876">
      <w:pPr>
        <w:jc w:val="both"/>
        <w:rPr>
          <w:sz w:val="20"/>
          <w:szCs w:val="20"/>
          <w:lang w:val="en-GB"/>
        </w:rPr>
      </w:pPr>
    </w:p>
    <w:p w:rsidR="00662876" w:rsidRDefault="00662876" w:rsidP="00EF31B0">
      <w:pPr>
        <w:ind w:left="360"/>
        <w:jc w:val="both"/>
        <w:rPr>
          <w:sz w:val="20"/>
          <w:szCs w:val="20"/>
          <w:lang w:val="en-GB"/>
        </w:rPr>
      </w:pPr>
      <w:r w:rsidRPr="00662876">
        <w:rPr>
          <w:sz w:val="20"/>
          <w:szCs w:val="20"/>
          <w:lang w:val="en-GB"/>
        </w:rPr>
        <w:t xml:space="preserve">ADRC-E has facilities that can be accessed from </w:t>
      </w:r>
      <w:r w:rsidR="00002FFB">
        <w:rPr>
          <w:sz w:val="20"/>
          <w:szCs w:val="20"/>
          <w:lang w:val="en-GB"/>
        </w:rPr>
        <w:t xml:space="preserve">secure labs in </w:t>
      </w:r>
      <w:r w:rsidRPr="00662876">
        <w:rPr>
          <w:sz w:val="20"/>
          <w:szCs w:val="20"/>
          <w:lang w:val="en-GB"/>
        </w:rPr>
        <w:t xml:space="preserve">both the University of Southampton and the Farr </w:t>
      </w:r>
      <w:r w:rsidR="00002FFB">
        <w:rPr>
          <w:sz w:val="20"/>
          <w:szCs w:val="20"/>
          <w:lang w:val="en-GB"/>
        </w:rPr>
        <w:t xml:space="preserve">Institute in Bloomsbury, </w:t>
      </w:r>
      <w:r w:rsidRPr="00662876">
        <w:rPr>
          <w:sz w:val="20"/>
          <w:szCs w:val="20"/>
          <w:lang w:val="en-GB"/>
        </w:rPr>
        <w:t>and partially funds the ONS Virtual Microdat</w:t>
      </w:r>
      <w:r w:rsidR="00931B27">
        <w:rPr>
          <w:sz w:val="20"/>
          <w:szCs w:val="20"/>
          <w:lang w:val="en-GB"/>
        </w:rPr>
        <w:t>a Laboratory (VML) with access</w:t>
      </w:r>
      <w:r w:rsidRPr="00662876">
        <w:rPr>
          <w:sz w:val="20"/>
          <w:szCs w:val="20"/>
          <w:lang w:val="en-GB"/>
        </w:rPr>
        <w:t xml:space="preserve"> points in Titchfield, Newport and </w:t>
      </w:r>
      <w:r w:rsidR="009E60F7" w:rsidRPr="00662876">
        <w:rPr>
          <w:sz w:val="20"/>
          <w:szCs w:val="20"/>
          <w:lang w:val="en-GB"/>
        </w:rPr>
        <w:t>Pimlico</w:t>
      </w:r>
      <w:r w:rsidRPr="00662876">
        <w:rPr>
          <w:sz w:val="20"/>
          <w:szCs w:val="20"/>
          <w:lang w:val="en-GB"/>
        </w:rPr>
        <w:t>.</w:t>
      </w:r>
    </w:p>
    <w:p w:rsidR="00002FFB" w:rsidRPr="00662876" w:rsidRDefault="00002FFB" w:rsidP="00662876">
      <w:pPr>
        <w:jc w:val="both"/>
        <w:rPr>
          <w:sz w:val="20"/>
          <w:szCs w:val="20"/>
          <w:lang w:val="en-GB"/>
        </w:rPr>
      </w:pPr>
    </w:p>
    <w:p w:rsidR="00662876" w:rsidRPr="00002FFB" w:rsidRDefault="00662876" w:rsidP="00002FFB">
      <w:pPr>
        <w:pStyle w:val="ListParagraph"/>
        <w:numPr>
          <w:ilvl w:val="0"/>
          <w:numId w:val="1"/>
        </w:numPr>
        <w:jc w:val="both"/>
        <w:rPr>
          <w:sz w:val="20"/>
          <w:szCs w:val="20"/>
          <w:lang w:val="en-GB"/>
        </w:rPr>
      </w:pPr>
      <w:r w:rsidRPr="00002FFB">
        <w:rPr>
          <w:sz w:val="20"/>
          <w:szCs w:val="20"/>
          <w:lang w:val="en-GB"/>
        </w:rPr>
        <w:t xml:space="preserve">Provide data management and statistical analysis support functions for external researchers accessing the data. </w:t>
      </w:r>
    </w:p>
    <w:p w:rsidR="00662876" w:rsidRPr="00662876" w:rsidRDefault="00662876" w:rsidP="00662876">
      <w:pPr>
        <w:jc w:val="both"/>
        <w:rPr>
          <w:sz w:val="20"/>
          <w:szCs w:val="20"/>
          <w:lang w:val="en-GB"/>
        </w:rPr>
      </w:pPr>
    </w:p>
    <w:p w:rsidR="00662876" w:rsidRPr="00662876" w:rsidRDefault="00662876" w:rsidP="00EF31B0">
      <w:pPr>
        <w:ind w:left="360"/>
        <w:jc w:val="both"/>
        <w:rPr>
          <w:sz w:val="20"/>
          <w:szCs w:val="20"/>
          <w:lang w:val="en-GB"/>
        </w:rPr>
      </w:pPr>
      <w:r w:rsidRPr="00662876">
        <w:rPr>
          <w:sz w:val="20"/>
          <w:szCs w:val="20"/>
          <w:lang w:val="en-GB"/>
        </w:rPr>
        <w:t>ADRC-E has admin</w:t>
      </w:r>
      <w:r>
        <w:rPr>
          <w:sz w:val="20"/>
          <w:szCs w:val="20"/>
          <w:lang w:val="en-GB"/>
        </w:rPr>
        <w:t>istrative</w:t>
      </w:r>
      <w:r w:rsidRPr="00662876">
        <w:rPr>
          <w:sz w:val="20"/>
          <w:szCs w:val="20"/>
          <w:lang w:val="en-GB"/>
        </w:rPr>
        <w:t xml:space="preserve"> staff, data scientists, statisticians, etc. to support researchers using ADRC-E facilities</w:t>
      </w:r>
      <w:r w:rsidR="00B24EF2">
        <w:rPr>
          <w:sz w:val="20"/>
          <w:szCs w:val="20"/>
          <w:lang w:val="en-GB"/>
        </w:rPr>
        <w:t xml:space="preserve"> across the three groups: </w:t>
      </w:r>
      <w:proofErr w:type="spellStart"/>
      <w:r w:rsidR="00B24EF2">
        <w:rPr>
          <w:sz w:val="20"/>
          <w:szCs w:val="20"/>
          <w:lang w:val="en-GB"/>
        </w:rPr>
        <w:t>UoS</w:t>
      </w:r>
      <w:proofErr w:type="spellEnd"/>
      <w:r w:rsidR="00B24EF2">
        <w:rPr>
          <w:sz w:val="20"/>
          <w:szCs w:val="20"/>
          <w:lang w:val="en-GB"/>
        </w:rPr>
        <w:t>, Bloomsbury and ONS</w:t>
      </w:r>
      <w:r w:rsidRPr="00662876">
        <w:rPr>
          <w:sz w:val="20"/>
          <w:szCs w:val="20"/>
          <w:lang w:val="en-GB"/>
        </w:rPr>
        <w:t>.</w:t>
      </w:r>
    </w:p>
    <w:p w:rsidR="00662876" w:rsidRPr="00662876" w:rsidRDefault="00662876" w:rsidP="00662876">
      <w:pPr>
        <w:jc w:val="both"/>
        <w:rPr>
          <w:sz w:val="20"/>
          <w:szCs w:val="20"/>
          <w:lang w:val="en-GB"/>
        </w:rPr>
      </w:pPr>
      <w:r w:rsidRPr="00662876">
        <w:rPr>
          <w:sz w:val="20"/>
          <w:szCs w:val="20"/>
          <w:lang w:val="en-GB"/>
        </w:rPr>
        <w:t xml:space="preserve"> </w:t>
      </w:r>
    </w:p>
    <w:p w:rsidR="00662876" w:rsidRPr="00002FFB" w:rsidRDefault="00662876" w:rsidP="00002FFB">
      <w:pPr>
        <w:pStyle w:val="ListParagraph"/>
        <w:numPr>
          <w:ilvl w:val="0"/>
          <w:numId w:val="1"/>
        </w:numPr>
        <w:jc w:val="both"/>
        <w:rPr>
          <w:sz w:val="20"/>
          <w:szCs w:val="20"/>
          <w:lang w:val="en-GB"/>
        </w:rPr>
      </w:pPr>
      <w:r w:rsidRPr="00002FFB">
        <w:rPr>
          <w:sz w:val="20"/>
          <w:szCs w:val="20"/>
          <w:lang w:val="en-GB"/>
        </w:rPr>
        <w:t xml:space="preserve">Conduct original research using linked administrative data and related analytical and methodological approaches. </w:t>
      </w:r>
    </w:p>
    <w:p w:rsidR="00662876" w:rsidRPr="00662876" w:rsidRDefault="00662876" w:rsidP="00662876">
      <w:pPr>
        <w:jc w:val="both"/>
        <w:rPr>
          <w:sz w:val="20"/>
          <w:szCs w:val="20"/>
          <w:lang w:val="en-GB"/>
        </w:rPr>
      </w:pPr>
    </w:p>
    <w:p w:rsidR="00662876" w:rsidRPr="00662876" w:rsidRDefault="00662876" w:rsidP="00EF31B0">
      <w:pPr>
        <w:ind w:left="360"/>
        <w:jc w:val="both"/>
        <w:rPr>
          <w:sz w:val="20"/>
          <w:szCs w:val="20"/>
          <w:lang w:val="en-GB"/>
        </w:rPr>
      </w:pPr>
      <w:r w:rsidRPr="00662876">
        <w:rPr>
          <w:sz w:val="20"/>
          <w:szCs w:val="20"/>
          <w:lang w:val="en-GB"/>
        </w:rPr>
        <w:t xml:space="preserve">ADRC-E currently has over 50 research projects underway. </w:t>
      </w:r>
      <w:r w:rsidR="008E7473">
        <w:rPr>
          <w:sz w:val="20"/>
          <w:szCs w:val="20"/>
          <w:lang w:val="en-GB"/>
        </w:rPr>
        <w:t xml:space="preserve"> </w:t>
      </w:r>
      <w:r w:rsidRPr="00662876">
        <w:rPr>
          <w:sz w:val="20"/>
          <w:szCs w:val="20"/>
          <w:lang w:val="en-GB"/>
        </w:rPr>
        <w:t xml:space="preserve">We have given over 20 presentations at international research conferences and hosted the 2016 </w:t>
      </w:r>
      <w:r w:rsidR="005B3CEC">
        <w:rPr>
          <w:sz w:val="20"/>
          <w:szCs w:val="20"/>
          <w:lang w:val="en-GB"/>
        </w:rPr>
        <w:t>ADRN</w:t>
      </w:r>
      <w:r w:rsidRPr="00662876">
        <w:rPr>
          <w:sz w:val="20"/>
          <w:szCs w:val="20"/>
          <w:lang w:val="en-GB"/>
        </w:rPr>
        <w:t xml:space="preserve"> Conference. </w:t>
      </w:r>
      <w:r w:rsidR="005A5A59">
        <w:rPr>
          <w:sz w:val="20"/>
          <w:szCs w:val="20"/>
          <w:lang w:val="en-GB"/>
        </w:rPr>
        <w:t xml:space="preserve"> </w:t>
      </w:r>
      <w:r w:rsidRPr="00662876">
        <w:rPr>
          <w:sz w:val="20"/>
          <w:szCs w:val="20"/>
          <w:lang w:val="en-GB"/>
        </w:rPr>
        <w:t>Our 2017 return to the ESRC included 92 publications in journals or conference proceedings</w:t>
      </w:r>
      <w:r w:rsidR="005B3CEC">
        <w:rPr>
          <w:sz w:val="20"/>
          <w:szCs w:val="20"/>
          <w:lang w:val="en-GB"/>
        </w:rPr>
        <w:t>.</w:t>
      </w:r>
    </w:p>
    <w:p w:rsidR="00662876" w:rsidRPr="00662876" w:rsidRDefault="00662876" w:rsidP="00662876">
      <w:pPr>
        <w:jc w:val="both"/>
        <w:rPr>
          <w:sz w:val="20"/>
          <w:szCs w:val="20"/>
          <w:lang w:val="en-GB"/>
        </w:rPr>
      </w:pPr>
    </w:p>
    <w:p w:rsidR="00662876" w:rsidRPr="00002FFB" w:rsidRDefault="00662876" w:rsidP="00002FFB">
      <w:pPr>
        <w:pStyle w:val="ListParagraph"/>
        <w:numPr>
          <w:ilvl w:val="0"/>
          <w:numId w:val="1"/>
        </w:numPr>
        <w:jc w:val="both"/>
        <w:rPr>
          <w:sz w:val="20"/>
          <w:szCs w:val="20"/>
          <w:lang w:val="en-GB"/>
        </w:rPr>
      </w:pPr>
      <w:r w:rsidRPr="00002FFB">
        <w:rPr>
          <w:sz w:val="20"/>
          <w:szCs w:val="20"/>
          <w:lang w:val="en-GB"/>
        </w:rPr>
        <w:t xml:space="preserve">Engage in training, capacity building and public engagement. </w:t>
      </w:r>
    </w:p>
    <w:p w:rsidR="00662876" w:rsidRPr="00662876" w:rsidRDefault="00662876" w:rsidP="00662876">
      <w:pPr>
        <w:jc w:val="both"/>
        <w:rPr>
          <w:sz w:val="20"/>
          <w:szCs w:val="20"/>
          <w:lang w:val="en-GB"/>
        </w:rPr>
      </w:pPr>
    </w:p>
    <w:p w:rsidR="00662876" w:rsidRPr="00662876" w:rsidRDefault="00931A18" w:rsidP="00EF31B0">
      <w:pPr>
        <w:ind w:left="360"/>
        <w:jc w:val="both"/>
        <w:rPr>
          <w:sz w:val="20"/>
          <w:szCs w:val="20"/>
          <w:lang w:val="en-GB"/>
        </w:rPr>
      </w:pPr>
      <w:r w:rsidRPr="00662876">
        <w:rPr>
          <w:sz w:val="20"/>
          <w:szCs w:val="20"/>
          <w:lang w:val="en-GB"/>
        </w:rPr>
        <w:t>Our 2017 return to the</w:t>
      </w:r>
      <w:r>
        <w:rPr>
          <w:sz w:val="20"/>
          <w:szCs w:val="20"/>
          <w:lang w:val="en-GB"/>
        </w:rPr>
        <w:t xml:space="preserve"> ESRC</w:t>
      </w:r>
      <w:r w:rsidRPr="00662876">
        <w:rPr>
          <w:sz w:val="20"/>
          <w:szCs w:val="20"/>
          <w:lang w:val="en-GB"/>
        </w:rPr>
        <w:t xml:space="preserve"> </w:t>
      </w:r>
      <w:r>
        <w:rPr>
          <w:sz w:val="20"/>
          <w:szCs w:val="20"/>
          <w:lang w:val="en-GB"/>
        </w:rPr>
        <w:t xml:space="preserve">also included 68 engagement activities. </w:t>
      </w:r>
      <w:r w:rsidR="00FD3072">
        <w:rPr>
          <w:sz w:val="20"/>
          <w:szCs w:val="20"/>
          <w:lang w:val="en-GB"/>
        </w:rPr>
        <w:t>I</w:t>
      </w:r>
      <w:r w:rsidR="00662876" w:rsidRPr="00662876">
        <w:rPr>
          <w:sz w:val="20"/>
          <w:szCs w:val="20"/>
          <w:lang w:val="en-GB"/>
        </w:rPr>
        <w:t xml:space="preserve">n both 2014-15 and 2015-16, ADRC-E delivered at least 20 days of training and </w:t>
      </w:r>
      <w:r w:rsidR="00FD3072">
        <w:rPr>
          <w:sz w:val="20"/>
          <w:szCs w:val="20"/>
          <w:lang w:val="en-GB"/>
        </w:rPr>
        <w:t>is</w:t>
      </w:r>
      <w:r w:rsidR="00662876" w:rsidRPr="00662876">
        <w:rPr>
          <w:sz w:val="20"/>
          <w:szCs w:val="20"/>
          <w:lang w:val="en-GB"/>
        </w:rPr>
        <w:t xml:space="preserve"> do</w:t>
      </w:r>
      <w:r w:rsidR="00FD3072">
        <w:rPr>
          <w:sz w:val="20"/>
          <w:szCs w:val="20"/>
          <w:lang w:val="en-GB"/>
        </w:rPr>
        <w:t>ing</w:t>
      </w:r>
      <w:r w:rsidR="00662876" w:rsidRPr="00662876">
        <w:rPr>
          <w:sz w:val="20"/>
          <w:szCs w:val="20"/>
          <w:lang w:val="en-GB"/>
        </w:rPr>
        <w:t xml:space="preserve"> the same in 2016-17.</w:t>
      </w:r>
      <w:r w:rsidR="005A5A59">
        <w:rPr>
          <w:sz w:val="20"/>
          <w:szCs w:val="20"/>
          <w:lang w:val="en-GB"/>
        </w:rPr>
        <w:t xml:space="preserve"> </w:t>
      </w:r>
      <w:r w:rsidR="00662876" w:rsidRPr="00662876">
        <w:rPr>
          <w:sz w:val="20"/>
          <w:szCs w:val="20"/>
          <w:lang w:val="en-GB"/>
        </w:rPr>
        <w:t xml:space="preserve"> We have successfully organised and delivered training courses to around 600 researchers on various aspects of administrative data.</w:t>
      </w:r>
      <w:r w:rsidR="005A5A59">
        <w:rPr>
          <w:sz w:val="20"/>
          <w:szCs w:val="20"/>
          <w:lang w:val="en-GB"/>
        </w:rPr>
        <w:t xml:space="preserve"> </w:t>
      </w:r>
      <w:r w:rsidR="00662876" w:rsidRPr="00662876">
        <w:rPr>
          <w:sz w:val="20"/>
          <w:szCs w:val="20"/>
          <w:lang w:val="en-GB"/>
        </w:rPr>
        <w:t xml:space="preserve"> ADRC-E has delivered eight ADRN Accreditation Training (now SURE Training) courses for ADRC-E staff and ADRN researchers across the government and academic sectors.</w:t>
      </w:r>
    </w:p>
    <w:p w:rsidR="00662876" w:rsidRPr="00662876" w:rsidRDefault="00662876" w:rsidP="00662876">
      <w:pPr>
        <w:jc w:val="both"/>
        <w:rPr>
          <w:sz w:val="20"/>
          <w:szCs w:val="20"/>
          <w:lang w:val="en-GB"/>
        </w:rPr>
      </w:pPr>
    </w:p>
    <w:p w:rsidR="00662876" w:rsidRPr="00002FFB" w:rsidRDefault="00662876" w:rsidP="00002FFB">
      <w:pPr>
        <w:pStyle w:val="ListParagraph"/>
        <w:numPr>
          <w:ilvl w:val="0"/>
          <w:numId w:val="1"/>
        </w:numPr>
        <w:jc w:val="both"/>
        <w:rPr>
          <w:sz w:val="20"/>
          <w:szCs w:val="20"/>
          <w:lang w:val="en-GB"/>
        </w:rPr>
      </w:pPr>
      <w:r w:rsidRPr="00002FFB">
        <w:rPr>
          <w:sz w:val="20"/>
          <w:szCs w:val="20"/>
          <w:lang w:val="en-GB"/>
        </w:rPr>
        <w:t xml:space="preserve">Work in collaboration with other elements of the ADRN. </w:t>
      </w:r>
    </w:p>
    <w:p w:rsidR="00662876" w:rsidRPr="00662876" w:rsidRDefault="00662876" w:rsidP="00662876">
      <w:pPr>
        <w:jc w:val="both"/>
        <w:rPr>
          <w:sz w:val="20"/>
          <w:szCs w:val="20"/>
          <w:lang w:val="en-GB"/>
        </w:rPr>
      </w:pPr>
    </w:p>
    <w:p w:rsidR="00662876" w:rsidRPr="00662876" w:rsidRDefault="00FD3072" w:rsidP="00EF31B0">
      <w:pPr>
        <w:ind w:left="360"/>
        <w:jc w:val="both"/>
        <w:rPr>
          <w:sz w:val="20"/>
          <w:szCs w:val="20"/>
          <w:lang w:val="en-GB"/>
        </w:rPr>
      </w:pPr>
      <w:r>
        <w:rPr>
          <w:sz w:val="20"/>
          <w:szCs w:val="20"/>
          <w:lang w:val="en-GB"/>
        </w:rPr>
        <w:t xml:space="preserve">ADRC-E is heavily involved in all </w:t>
      </w:r>
      <w:r w:rsidR="006B75C6">
        <w:rPr>
          <w:sz w:val="20"/>
          <w:szCs w:val="20"/>
          <w:lang w:val="en-GB"/>
        </w:rPr>
        <w:t>aspects</w:t>
      </w:r>
      <w:r>
        <w:rPr>
          <w:sz w:val="20"/>
          <w:szCs w:val="20"/>
          <w:lang w:val="en-GB"/>
        </w:rPr>
        <w:t xml:space="preserve"> of the ADRN and I currently direct the Network and chair the Directors Group meetings. </w:t>
      </w:r>
      <w:r w:rsidR="008E7473">
        <w:rPr>
          <w:sz w:val="20"/>
          <w:szCs w:val="20"/>
          <w:lang w:val="en-GB"/>
        </w:rPr>
        <w:t xml:space="preserve"> </w:t>
      </w:r>
      <w:r w:rsidR="00662876" w:rsidRPr="00662876">
        <w:rPr>
          <w:sz w:val="20"/>
          <w:szCs w:val="20"/>
          <w:lang w:val="en-GB"/>
        </w:rPr>
        <w:t xml:space="preserve">ADRC-E members actively participated in the former Management Group and ADRN Working Groups, and continue to participate actively in the Directors Group, the Operations Group and their Subgroups and Task Teams. </w:t>
      </w:r>
      <w:r w:rsidR="005A5A59">
        <w:rPr>
          <w:sz w:val="20"/>
          <w:szCs w:val="20"/>
          <w:lang w:val="en-GB"/>
        </w:rPr>
        <w:t xml:space="preserve"> </w:t>
      </w:r>
      <w:r w:rsidR="00662876" w:rsidRPr="00662876">
        <w:rPr>
          <w:sz w:val="20"/>
          <w:szCs w:val="20"/>
          <w:lang w:val="en-GB"/>
        </w:rPr>
        <w:t>We have contributed to the development of ADRN strategy, principles and policies, the Approvals Panel and the Administrative Data Service (ADS) self-review processes, gateway reviews and the mid-term review.</w:t>
      </w:r>
    </w:p>
    <w:p w:rsidR="00662876" w:rsidRDefault="00662876" w:rsidP="00027A43">
      <w:pPr>
        <w:jc w:val="both"/>
      </w:pPr>
    </w:p>
    <w:p w:rsidR="0068725A" w:rsidRDefault="0068725A" w:rsidP="00027A43">
      <w:pPr>
        <w:jc w:val="both"/>
      </w:pPr>
    </w:p>
    <w:p w:rsidR="003112B3" w:rsidRDefault="003112B3">
      <w:pPr>
        <w:rPr>
          <w:b/>
        </w:rPr>
      </w:pPr>
      <w:r>
        <w:rPr>
          <w:b/>
        </w:rPr>
        <w:br w:type="page"/>
      </w:r>
    </w:p>
    <w:p w:rsidR="006B75C6" w:rsidRDefault="006B75C6" w:rsidP="006B75C6">
      <w:pPr>
        <w:jc w:val="center"/>
        <w:rPr>
          <w:b/>
        </w:rPr>
      </w:pPr>
      <w:r>
        <w:rPr>
          <w:b/>
        </w:rPr>
        <w:lastRenderedPageBreak/>
        <w:t>6</w:t>
      </w:r>
      <w:r w:rsidRPr="00354894">
        <w:rPr>
          <w:b/>
        </w:rPr>
        <w:t xml:space="preserve">. </w:t>
      </w:r>
      <w:r>
        <w:rPr>
          <w:b/>
        </w:rPr>
        <w:t xml:space="preserve"> GUILD</w:t>
      </w:r>
      <w:r w:rsidR="00BF3D28" w:rsidRPr="00BF3D28">
        <w:rPr>
          <w:b/>
        </w:rPr>
        <w:t>: Guidance for information about linking data sets</w:t>
      </w:r>
    </w:p>
    <w:p w:rsidR="00BF3D28" w:rsidRDefault="00BF3D28" w:rsidP="00BF3D28">
      <w:pPr>
        <w:jc w:val="both"/>
        <w:rPr>
          <w:b/>
        </w:rPr>
      </w:pPr>
    </w:p>
    <w:p w:rsidR="00BF3D28" w:rsidRPr="00BF3D28" w:rsidRDefault="00BF3D28" w:rsidP="001B7A58">
      <w:pPr>
        <w:jc w:val="both"/>
        <w:rPr>
          <w:bCs/>
          <w:sz w:val="20"/>
          <w:szCs w:val="20"/>
        </w:rPr>
      </w:pPr>
      <w:r w:rsidRPr="00BF3D28">
        <w:rPr>
          <w:bCs/>
          <w:sz w:val="20"/>
          <w:szCs w:val="20"/>
        </w:rPr>
        <w:t xml:space="preserve">Joint work across the ADRC-E consortium (Bloomsbury: Ruth Gilbert, Gareth </w:t>
      </w:r>
      <w:proofErr w:type="spellStart"/>
      <w:r w:rsidRPr="00BF3D28">
        <w:rPr>
          <w:bCs/>
          <w:sz w:val="20"/>
          <w:szCs w:val="20"/>
        </w:rPr>
        <w:t>Hagger</w:t>
      </w:r>
      <w:proofErr w:type="spellEnd"/>
      <w:r w:rsidRPr="00BF3D28">
        <w:rPr>
          <w:bCs/>
          <w:sz w:val="20"/>
          <w:szCs w:val="20"/>
        </w:rPr>
        <w:t xml:space="preserve">-Johnson, </w:t>
      </w:r>
      <w:r w:rsidR="009348D3">
        <w:rPr>
          <w:bCs/>
          <w:sz w:val="20"/>
          <w:szCs w:val="20"/>
        </w:rPr>
        <w:t xml:space="preserve">Katie </w:t>
      </w:r>
      <w:proofErr w:type="spellStart"/>
      <w:r w:rsidR="009348D3">
        <w:rPr>
          <w:bCs/>
          <w:sz w:val="20"/>
          <w:szCs w:val="20"/>
        </w:rPr>
        <w:t>Harron</w:t>
      </w:r>
      <w:proofErr w:type="spellEnd"/>
      <w:r w:rsidR="009348D3">
        <w:rPr>
          <w:bCs/>
          <w:sz w:val="20"/>
          <w:szCs w:val="20"/>
        </w:rPr>
        <w:t xml:space="preserve">, </w:t>
      </w:r>
      <w:r w:rsidRPr="00BF3D28">
        <w:rPr>
          <w:bCs/>
          <w:sz w:val="20"/>
          <w:szCs w:val="20"/>
        </w:rPr>
        <w:t xml:space="preserve">Harvey Goldstein; </w:t>
      </w:r>
      <w:proofErr w:type="spellStart"/>
      <w:r w:rsidR="009348D3">
        <w:rPr>
          <w:bCs/>
          <w:sz w:val="20"/>
          <w:szCs w:val="20"/>
        </w:rPr>
        <w:t>UoS</w:t>
      </w:r>
      <w:proofErr w:type="spellEnd"/>
      <w:r w:rsidR="009348D3">
        <w:rPr>
          <w:bCs/>
          <w:sz w:val="20"/>
          <w:szCs w:val="20"/>
        </w:rPr>
        <w:t xml:space="preserve">: </w:t>
      </w:r>
      <w:r w:rsidRPr="00BF3D28">
        <w:rPr>
          <w:bCs/>
          <w:sz w:val="20"/>
          <w:szCs w:val="20"/>
        </w:rPr>
        <w:t>Li-Chun Zhang</w:t>
      </w:r>
      <w:r w:rsidR="003D3F7E">
        <w:rPr>
          <w:bCs/>
          <w:sz w:val="20"/>
          <w:szCs w:val="20"/>
        </w:rPr>
        <w:t>, Peter Smith</w:t>
      </w:r>
      <w:r w:rsidRPr="00BF3D28">
        <w:rPr>
          <w:bCs/>
          <w:sz w:val="20"/>
          <w:szCs w:val="20"/>
        </w:rPr>
        <w:t xml:space="preserve">; </w:t>
      </w:r>
      <w:r w:rsidR="003D3F7E">
        <w:rPr>
          <w:bCs/>
          <w:sz w:val="20"/>
          <w:szCs w:val="20"/>
        </w:rPr>
        <w:t xml:space="preserve">and </w:t>
      </w:r>
      <w:r w:rsidRPr="00BF3D28">
        <w:rPr>
          <w:bCs/>
          <w:sz w:val="20"/>
          <w:szCs w:val="20"/>
        </w:rPr>
        <w:t>ONS: Rose Lafferty) and beyond (Chris Dibben</w:t>
      </w:r>
      <w:r w:rsidR="00E623DD">
        <w:rPr>
          <w:bCs/>
          <w:sz w:val="20"/>
          <w:szCs w:val="20"/>
        </w:rPr>
        <w:t xml:space="preserve">, ADRC </w:t>
      </w:r>
      <w:r w:rsidR="003D3F7E">
        <w:rPr>
          <w:bCs/>
          <w:sz w:val="20"/>
          <w:szCs w:val="20"/>
        </w:rPr>
        <w:t>Scotland</w:t>
      </w:r>
      <w:r w:rsidRPr="00BF3D28">
        <w:rPr>
          <w:bCs/>
          <w:sz w:val="20"/>
          <w:szCs w:val="20"/>
        </w:rPr>
        <w:t>)</w:t>
      </w:r>
      <w:r w:rsidR="003D3F7E">
        <w:rPr>
          <w:bCs/>
          <w:sz w:val="20"/>
          <w:szCs w:val="20"/>
        </w:rPr>
        <w:t xml:space="preserve"> has produced some g</w:t>
      </w:r>
      <w:r w:rsidR="003D3F7E" w:rsidRPr="003D3F7E">
        <w:rPr>
          <w:bCs/>
          <w:sz w:val="20"/>
          <w:szCs w:val="20"/>
        </w:rPr>
        <w:t>uidance for information about linking data sets</w:t>
      </w:r>
      <w:r w:rsidR="003D3F7E">
        <w:rPr>
          <w:bCs/>
          <w:sz w:val="20"/>
          <w:szCs w:val="20"/>
        </w:rPr>
        <w:t xml:space="preserve">.  </w:t>
      </w:r>
      <w:r w:rsidRPr="00BF3D28">
        <w:rPr>
          <w:bCs/>
          <w:sz w:val="20"/>
          <w:szCs w:val="20"/>
        </w:rPr>
        <w:t>Also, there were contributions from a team of UK experts and attendees at an international workshop on data linkage.</w:t>
      </w:r>
    </w:p>
    <w:p w:rsidR="00662876" w:rsidRPr="00354894" w:rsidRDefault="00662876" w:rsidP="00027A43">
      <w:pPr>
        <w:jc w:val="both"/>
      </w:pPr>
    </w:p>
    <w:p w:rsidR="00027A43" w:rsidRPr="00354894" w:rsidRDefault="00BF3D28" w:rsidP="00BF3D28">
      <w:pPr>
        <w:jc w:val="both"/>
        <w:rPr>
          <w:b/>
        </w:rPr>
      </w:pPr>
      <w:r>
        <w:rPr>
          <w:b/>
        </w:rPr>
        <w:t>6</w:t>
      </w:r>
      <w:r w:rsidR="00027A43" w:rsidRPr="00354894">
        <w:rPr>
          <w:b/>
        </w:rPr>
        <w:t xml:space="preserve">.1 </w:t>
      </w:r>
      <w:r>
        <w:rPr>
          <w:b/>
        </w:rPr>
        <w:t>Guild: Why?</w:t>
      </w:r>
    </w:p>
    <w:p w:rsidR="00027A43" w:rsidRPr="00354894" w:rsidRDefault="00027A43" w:rsidP="00027A43">
      <w:pPr>
        <w:jc w:val="both"/>
      </w:pPr>
    </w:p>
    <w:p w:rsidR="00027A43" w:rsidRPr="00BF3D28" w:rsidRDefault="00027A43" w:rsidP="009A7746">
      <w:pPr>
        <w:jc w:val="both"/>
        <w:rPr>
          <w:sz w:val="20"/>
          <w:szCs w:val="20"/>
        </w:rPr>
      </w:pPr>
      <w:r w:rsidRPr="00D64E36">
        <w:rPr>
          <w:sz w:val="20"/>
          <w:szCs w:val="20"/>
        </w:rPr>
        <w:t>The</w:t>
      </w:r>
      <w:r w:rsidR="00BF3D28">
        <w:rPr>
          <w:sz w:val="20"/>
          <w:szCs w:val="20"/>
        </w:rPr>
        <w:t xml:space="preserve"> </w:t>
      </w:r>
      <w:r w:rsidR="00BF3D28" w:rsidRPr="00BF3D28">
        <w:rPr>
          <w:sz w:val="20"/>
          <w:szCs w:val="20"/>
        </w:rPr>
        <w:t xml:space="preserve">data linkage pathway </w:t>
      </w:r>
      <w:r w:rsidR="00F90963">
        <w:rPr>
          <w:sz w:val="20"/>
          <w:szCs w:val="20"/>
        </w:rPr>
        <w:t xml:space="preserve">is fragmented and </w:t>
      </w:r>
      <w:r w:rsidR="00BF3D28" w:rsidRPr="00BF3D28">
        <w:rPr>
          <w:sz w:val="20"/>
          <w:szCs w:val="20"/>
        </w:rPr>
        <w:t>involves different teams from data collection through link</w:t>
      </w:r>
      <w:r w:rsidR="00BF3D28">
        <w:rPr>
          <w:sz w:val="20"/>
          <w:szCs w:val="20"/>
        </w:rPr>
        <w:t xml:space="preserve">age to analysis and reporting.  </w:t>
      </w:r>
      <w:r w:rsidR="00BF3D28" w:rsidRPr="00BF3D28">
        <w:rPr>
          <w:sz w:val="20"/>
          <w:szCs w:val="20"/>
        </w:rPr>
        <w:t>There can be little exchange of information between the teams, some of which may be a result of the need to separate pro</w:t>
      </w:r>
      <w:r w:rsidR="001B7A58">
        <w:rPr>
          <w:sz w:val="20"/>
          <w:szCs w:val="20"/>
        </w:rPr>
        <w:t>c</w:t>
      </w:r>
      <w:r w:rsidR="00BF3D28" w:rsidRPr="00BF3D28">
        <w:rPr>
          <w:sz w:val="20"/>
          <w:szCs w:val="20"/>
        </w:rPr>
        <w:t>ess</w:t>
      </w:r>
      <w:r w:rsidR="001B7A58">
        <w:rPr>
          <w:sz w:val="20"/>
          <w:szCs w:val="20"/>
        </w:rPr>
        <w:t>es</w:t>
      </w:r>
      <w:r w:rsidR="00BF3D28" w:rsidRPr="00BF3D28">
        <w:rPr>
          <w:sz w:val="20"/>
          <w:szCs w:val="20"/>
        </w:rPr>
        <w:t>, e.g., the linkage of identifiers and the data analysis of the functionally anonymised linked attribute data</w:t>
      </w:r>
      <w:r w:rsidR="00BF3D28">
        <w:rPr>
          <w:sz w:val="20"/>
          <w:szCs w:val="20"/>
        </w:rPr>
        <w:t>.</w:t>
      </w:r>
      <w:r w:rsidR="005A5A59">
        <w:rPr>
          <w:sz w:val="20"/>
          <w:szCs w:val="20"/>
        </w:rPr>
        <w:t xml:space="preserve"> </w:t>
      </w:r>
      <w:r w:rsidR="00BF3D28">
        <w:rPr>
          <w:sz w:val="20"/>
          <w:szCs w:val="20"/>
        </w:rPr>
        <w:t xml:space="preserve"> </w:t>
      </w:r>
      <w:r w:rsidR="00BF3D28" w:rsidRPr="00BF3D28">
        <w:rPr>
          <w:sz w:val="20"/>
          <w:szCs w:val="20"/>
        </w:rPr>
        <w:t>However, analysts and report writers need to have information on earlier processing in order to assess its impact on their results.</w:t>
      </w:r>
      <w:r w:rsidR="00BF3D28">
        <w:rPr>
          <w:sz w:val="20"/>
          <w:szCs w:val="20"/>
        </w:rPr>
        <w:t xml:space="preserve"> </w:t>
      </w:r>
      <w:r w:rsidR="00BF3D28" w:rsidRPr="00BF3D28">
        <w:rPr>
          <w:sz w:val="20"/>
          <w:szCs w:val="20"/>
        </w:rPr>
        <w:t xml:space="preserve"> Therefore, linkers need to provide information on source of linkage errors and who are affected, since linkage errors maybe larger for subgroups of interest.</w:t>
      </w:r>
      <w:r w:rsidR="005A5A59">
        <w:rPr>
          <w:sz w:val="20"/>
          <w:szCs w:val="20"/>
        </w:rPr>
        <w:t xml:space="preserve"> </w:t>
      </w:r>
      <w:r w:rsidR="00BF3D28">
        <w:rPr>
          <w:sz w:val="20"/>
          <w:szCs w:val="20"/>
        </w:rPr>
        <w:t xml:space="preserve"> If data provide</w:t>
      </w:r>
      <w:r w:rsidR="001B7A58">
        <w:rPr>
          <w:sz w:val="20"/>
          <w:szCs w:val="20"/>
        </w:rPr>
        <w:t>r</w:t>
      </w:r>
      <w:r w:rsidR="00BF3D28">
        <w:rPr>
          <w:sz w:val="20"/>
          <w:szCs w:val="20"/>
        </w:rPr>
        <w:t>s have</w:t>
      </w:r>
      <w:r w:rsidR="00BF3D28" w:rsidRPr="00BF3D28">
        <w:rPr>
          <w:sz w:val="20"/>
          <w:szCs w:val="20"/>
        </w:rPr>
        <w:t xml:space="preserve"> awareness of the methods used downstream and the impact of data quality on linkage errors and study results</w:t>
      </w:r>
      <w:r w:rsidR="00E623DD">
        <w:rPr>
          <w:sz w:val="20"/>
          <w:szCs w:val="20"/>
        </w:rPr>
        <w:t>,</w:t>
      </w:r>
      <w:r w:rsidR="00BF3D28" w:rsidRPr="00BF3D28">
        <w:rPr>
          <w:sz w:val="20"/>
          <w:szCs w:val="20"/>
        </w:rPr>
        <w:t xml:space="preserve"> then they may be able to take action to enhance the data quality in useful ways</w:t>
      </w:r>
      <w:r w:rsidR="00BF3D28">
        <w:rPr>
          <w:sz w:val="20"/>
          <w:szCs w:val="20"/>
        </w:rPr>
        <w:t>.</w:t>
      </w:r>
      <w:r w:rsidR="00BF3D28" w:rsidRPr="00BF3D28">
        <w:rPr>
          <w:sz w:val="20"/>
          <w:szCs w:val="20"/>
        </w:rPr>
        <w:t xml:space="preserve"> </w:t>
      </w:r>
      <w:r w:rsidR="00BF3D28">
        <w:rPr>
          <w:sz w:val="20"/>
          <w:szCs w:val="20"/>
        </w:rPr>
        <w:t xml:space="preserve"> </w:t>
      </w:r>
      <w:r w:rsidR="00BF3D28" w:rsidRPr="00BF3D28">
        <w:rPr>
          <w:sz w:val="20"/>
          <w:szCs w:val="20"/>
        </w:rPr>
        <w:t xml:space="preserve">The overall aim of providing the GUILD guidance </w:t>
      </w:r>
      <w:r w:rsidR="001B7A58">
        <w:rPr>
          <w:bCs/>
          <w:sz w:val="20"/>
          <w:szCs w:val="20"/>
        </w:rPr>
        <w:t xml:space="preserve">(Gilbert et al., 2017) </w:t>
      </w:r>
      <w:r w:rsidR="00E623DD">
        <w:rPr>
          <w:sz w:val="20"/>
          <w:szCs w:val="20"/>
        </w:rPr>
        <w:t>wa</w:t>
      </w:r>
      <w:r w:rsidR="00BF3D28" w:rsidRPr="00BF3D28">
        <w:rPr>
          <w:sz w:val="20"/>
          <w:szCs w:val="20"/>
        </w:rPr>
        <w:t xml:space="preserve">s to enhance the quantity and analysis of linked data. </w:t>
      </w:r>
      <w:r w:rsidR="00E623DD">
        <w:rPr>
          <w:sz w:val="20"/>
          <w:szCs w:val="20"/>
        </w:rPr>
        <w:t xml:space="preserve"> </w:t>
      </w:r>
      <w:r w:rsidR="00BF3D28" w:rsidRPr="00BF3D28">
        <w:rPr>
          <w:sz w:val="20"/>
          <w:szCs w:val="20"/>
        </w:rPr>
        <w:t>Hopefully, it will also promote further discussion of the issues.</w:t>
      </w:r>
      <w:r w:rsidRPr="00D64E36">
        <w:rPr>
          <w:sz w:val="20"/>
          <w:szCs w:val="20"/>
        </w:rPr>
        <w:t xml:space="preserve"> </w:t>
      </w:r>
    </w:p>
    <w:p w:rsidR="00027A43" w:rsidRPr="00354894" w:rsidRDefault="00027A43" w:rsidP="00027A43">
      <w:pPr>
        <w:jc w:val="both"/>
      </w:pPr>
    </w:p>
    <w:p w:rsidR="00027A43" w:rsidRPr="00354894" w:rsidRDefault="00BF3D28" w:rsidP="00BF3D28">
      <w:pPr>
        <w:jc w:val="both"/>
        <w:rPr>
          <w:b/>
        </w:rPr>
      </w:pPr>
      <w:r>
        <w:rPr>
          <w:b/>
        </w:rPr>
        <w:t>6</w:t>
      </w:r>
      <w:r w:rsidR="00027A43" w:rsidRPr="00354894">
        <w:rPr>
          <w:b/>
        </w:rPr>
        <w:t xml:space="preserve">.2 </w:t>
      </w:r>
      <w:r>
        <w:rPr>
          <w:b/>
        </w:rPr>
        <w:t>Guild: What?</w:t>
      </w:r>
    </w:p>
    <w:p w:rsidR="00027A43" w:rsidRPr="00354894" w:rsidRDefault="00027A43" w:rsidP="00027A43">
      <w:pPr>
        <w:jc w:val="both"/>
      </w:pPr>
    </w:p>
    <w:p w:rsidR="00027A43" w:rsidRDefault="00931B27" w:rsidP="00931B27">
      <w:pPr>
        <w:jc w:val="both"/>
        <w:rPr>
          <w:sz w:val="20"/>
          <w:szCs w:val="20"/>
        </w:rPr>
      </w:pPr>
      <w:r>
        <w:rPr>
          <w:sz w:val="20"/>
          <w:szCs w:val="20"/>
        </w:rPr>
        <w:t xml:space="preserve">The </w:t>
      </w:r>
      <w:r w:rsidR="00BF3D28" w:rsidRPr="00BF3D28">
        <w:rPr>
          <w:sz w:val="20"/>
          <w:szCs w:val="20"/>
        </w:rPr>
        <w:t xml:space="preserve">GUILD </w:t>
      </w:r>
      <w:r>
        <w:rPr>
          <w:sz w:val="20"/>
          <w:szCs w:val="20"/>
        </w:rPr>
        <w:t>guidance divides</w:t>
      </w:r>
      <w:r w:rsidR="00BF3D28" w:rsidRPr="00BF3D28">
        <w:rPr>
          <w:sz w:val="20"/>
          <w:szCs w:val="20"/>
        </w:rPr>
        <w:t xml:space="preserve"> </w:t>
      </w:r>
      <w:r>
        <w:rPr>
          <w:sz w:val="20"/>
          <w:szCs w:val="20"/>
        </w:rPr>
        <w:t xml:space="preserve">the data linkage pathway </w:t>
      </w:r>
      <w:r w:rsidR="00BF3D28" w:rsidRPr="00BF3D28">
        <w:rPr>
          <w:sz w:val="20"/>
          <w:szCs w:val="20"/>
        </w:rPr>
        <w:t>into four areas: data provision, data linkage, data analysis and reporting study findings</w:t>
      </w:r>
      <w:r>
        <w:rPr>
          <w:sz w:val="20"/>
          <w:szCs w:val="20"/>
        </w:rPr>
        <w:t>,</w:t>
      </w:r>
      <w:r w:rsidR="00BF3D28" w:rsidRPr="00BF3D28">
        <w:rPr>
          <w:sz w:val="20"/>
          <w:szCs w:val="20"/>
        </w:rPr>
        <w:t xml:space="preserve"> and </w:t>
      </w:r>
      <w:r>
        <w:rPr>
          <w:sz w:val="20"/>
          <w:szCs w:val="20"/>
        </w:rPr>
        <w:t>recommends</w:t>
      </w:r>
      <w:r w:rsidR="00BF3D28" w:rsidRPr="00BF3D28">
        <w:rPr>
          <w:sz w:val="20"/>
          <w:szCs w:val="20"/>
        </w:rPr>
        <w:t xml:space="preserve"> what information should be provided at each stage. </w:t>
      </w:r>
      <w:r w:rsidR="009A7746">
        <w:rPr>
          <w:sz w:val="20"/>
          <w:szCs w:val="20"/>
        </w:rPr>
        <w:t xml:space="preserve"> </w:t>
      </w:r>
      <w:r w:rsidR="00BF3D28" w:rsidRPr="00BF3D28">
        <w:rPr>
          <w:sz w:val="20"/>
          <w:szCs w:val="20"/>
        </w:rPr>
        <w:t>For example</w:t>
      </w:r>
      <w:r w:rsidR="00BF3D28">
        <w:rPr>
          <w:sz w:val="20"/>
          <w:szCs w:val="20"/>
        </w:rPr>
        <w:t>,</w:t>
      </w:r>
      <w:r w:rsidR="00BF3D28" w:rsidRPr="00BF3D28">
        <w:rPr>
          <w:sz w:val="20"/>
          <w:szCs w:val="20"/>
        </w:rPr>
        <w:t xml:space="preserve"> data providers should provide information on the population and geographical coverage of the data and how any opt-outs have been dealt with. </w:t>
      </w:r>
      <w:r w:rsidR="008E7473">
        <w:rPr>
          <w:sz w:val="20"/>
          <w:szCs w:val="20"/>
        </w:rPr>
        <w:t xml:space="preserve"> </w:t>
      </w:r>
      <w:r w:rsidR="00BF3D28" w:rsidRPr="00BF3D28">
        <w:rPr>
          <w:sz w:val="20"/>
          <w:szCs w:val="20"/>
        </w:rPr>
        <w:t>They should also share any information which might help the linkage process such has how the data were collected and cleaned and whether any disclosure control has been applied.</w:t>
      </w:r>
      <w:r w:rsidR="009A7746">
        <w:rPr>
          <w:sz w:val="20"/>
          <w:szCs w:val="20"/>
        </w:rPr>
        <w:t xml:space="preserve">  </w:t>
      </w:r>
      <w:r w:rsidR="00BF3D28" w:rsidRPr="00603DBD">
        <w:rPr>
          <w:sz w:val="20"/>
          <w:szCs w:val="20"/>
        </w:rPr>
        <w:t>Data linkers s</w:t>
      </w:r>
      <w:r w:rsidR="009A7746" w:rsidRPr="00603DBD">
        <w:rPr>
          <w:sz w:val="20"/>
          <w:szCs w:val="20"/>
        </w:rPr>
        <w:t>hould</w:t>
      </w:r>
      <w:r w:rsidR="009A7746">
        <w:rPr>
          <w:sz w:val="20"/>
          <w:szCs w:val="20"/>
        </w:rPr>
        <w:t xml:space="preserve"> provide a </w:t>
      </w:r>
      <w:r w:rsidR="009A7746" w:rsidRPr="009A7746">
        <w:rPr>
          <w:sz w:val="20"/>
          <w:szCs w:val="20"/>
        </w:rPr>
        <w:t>description of the linkage process</w:t>
      </w:r>
      <w:r w:rsidR="009A7746">
        <w:rPr>
          <w:sz w:val="20"/>
          <w:szCs w:val="20"/>
        </w:rPr>
        <w:t xml:space="preserve">, </w:t>
      </w:r>
      <w:r w:rsidR="009A7746" w:rsidRPr="009A7746">
        <w:rPr>
          <w:sz w:val="20"/>
          <w:szCs w:val="20"/>
        </w:rPr>
        <w:t>record-level indicators of the linkage process</w:t>
      </w:r>
      <w:r w:rsidR="009A7746">
        <w:rPr>
          <w:sz w:val="20"/>
          <w:szCs w:val="20"/>
        </w:rPr>
        <w:t xml:space="preserve">, </w:t>
      </w:r>
      <w:r w:rsidR="009A7746" w:rsidRPr="009A7746">
        <w:rPr>
          <w:sz w:val="20"/>
          <w:szCs w:val="20"/>
        </w:rPr>
        <w:t>aggregate</w:t>
      </w:r>
      <w:r w:rsidR="009A7746">
        <w:rPr>
          <w:sz w:val="20"/>
          <w:szCs w:val="20"/>
        </w:rPr>
        <w:t>-level</w:t>
      </w:r>
      <w:r w:rsidR="009A7746" w:rsidRPr="009A7746">
        <w:rPr>
          <w:sz w:val="20"/>
          <w:szCs w:val="20"/>
        </w:rPr>
        <w:t xml:space="preserve"> linkage results</w:t>
      </w:r>
      <w:r w:rsidR="009A7746">
        <w:rPr>
          <w:sz w:val="20"/>
          <w:szCs w:val="20"/>
        </w:rPr>
        <w:t xml:space="preserve">, </w:t>
      </w:r>
      <w:r w:rsidR="009A7746" w:rsidRPr="009A7746">
        <w:rPr>
          <w:sz w:val="20"/>
          <w:szCs w:val="20"/>
        </w:rPr>
        <w:t>gen</w:t>
      </w:r>
      <w:r w:rsidR="009A7746">
        <w:rPr>
          <w:sz w:val="20"/>
          <w:szCs w:val="20"/>
        </w:rPr>
        <w:t xml:space="preserve">eric reports of linkage accuracy, </w:t>
      </w:r>
      <w:r w:rsidR="009A7746" w:rsidRPr="009A7746">
        <w:rPr>
          <w:sz w:val="20"/>
          <w:szCs w:val="20"/>
        </w:rPr>
        <w:t xml:space="preserve">description </w:t>
      </w:r>
      <w:r w:rsidR="009A7746">
        <w:rPr>
          <w:sz w:val="20"/>
          <w:szCs w:val="20"/>
        </w:rPr>
        <w:t xml:space="preserve">of any </w:t>
      </w:r>
      <w:r w:rsidR="009A7746" w:rsidRPr="009A7746">
        <w:rPr>
          <w:sz w:val="20"/>
          <w:szCs w:val="20"/>
        </w:rPr>
        <w:t>disclosure control</w:t>
      </w:r>
      <w:r w:rsidR="009A7746">
        <w:rPr>
          <w:sz w:val="20"/>
          <w:szCs w:val="20"/>
        </w:rPr>
        <w:t xml:space="preserve"> </w:t>
      </w:r>
      <w:r w:rsidR="00856FD8">
        <w:rPr>
          <w:sz w:val="20"/>
          <w:szCs w:val="20"/>
        </w:rPr>
        <w:t xml:space="preserve">performed </w:t>
      </w:r>
      <w:r w:rsidR="009A7746">
        <w:rPr>
          <w:sz w:val="20"/>
          <w:szCs w:val="20"/>
        </w:rPr>
        <w:t xml:space="preserve">and an </w:t>
      </w:r>
      <w:r w:rsidR="009A7746" w:rsidRPr="009A7746">
        <w:rPr>
          <w:sz w:val="20"/>
          <w:szCs w:val="20"/>
        </w:rPr>
        <w:t>overview of data linkage</w:t>
      </w:r>
      <w:r w:rsidR="00603DBD">
        <w:rPr>
          <w:sz w:val="20"/>
          <w:szCs w:val="20"/>
        </w:rPr>
        <w:t>s they have undertaken</w:t>
      </w:r>
      <w:r w:rsidR="009A7746">
        <w:rPr>
          <w:sz w:val="20"/>
          <w:szCs w:val="20"/>
        </w:rPr>
        <w:t>.</w:t>
      </w:r>
      <w:r w:rsidR="005A5A59">
        <w:rPr>
          <w:sz w:val="20"/>
          <w:szCs w:val="20"/>
        </w:rPr>
        <w:t xml:space="preserve"> </w:t>
      </w:r>
      <w:r w:rsidR="009A7746">
        <w:rPr>
          <w:sz w:val="20"/>
          <w:szCs w:val="20"/>
        </w:rPr>
        <w:t xml:space="preserve"> </w:t>
      </w:r>
      <w:r w:rsidR="00BF3D28" w:rsidRPr="00BF3D28">
        <w:rPr>
          <w:sz w:val="20"/>
          <w:szCs w:val="20"/>
        </w:rPr>
        <w:t xml:space="preserve">Data analysist should </w:t>
      </w:r>
      <w:r w:rsidR="009A7746">
        <w:rPr>
          <w:sz w:val="20"/>
          <w:szCs w:val="20"/>
        </w:rPr>
        <w:t>account for data linkage error</w:t>
      </w:r>
      <w:r w:rsidR="00E623DD">
        <w:rPr>
          <w:sz w:val="20"/>
          <w:szCs w:val="20"/>
        </w:rPr>
        <w:t>,</w:t>
      </w:r>
      <w:r w:rsidR="009A7746">
        <w:rPr>
          <w:sz w:val="20"/>
          <w:szCs w:val="20"/>
        </w:rPr>
        <w:t xml:space="preserve"> and s</w:t>
      </w:r>
      <w:r w:rsidR="00BF3D28" w:rsidRPr="00BF3D28">
        <w:rPr>
          <w:sz w:val="20"/>
          <w:szCs w:val="20"/>
        </w:rPr>
        <w:t>tudy reports w</w:t>
      </w:r>
      <w:r>
        <w:rPr>
          <w:sz w:val="20"/>
          <w:szCs w:val="20"/>
        </w:rPr>
        <w:t>h</w:t>
      </w:r>
      <w:r w:rsidR="00BF3D28" w:rsidRPr="00BF3D28">
        <w:rPr>
          <w:sz w:val="20"/>
          <w:szCs w:val="20"/>
        </w:rPr>
        <w:t xml:space="preserve">ere possible should </w:t>
      </w:r>
      <w:r>
        <w:rPr>
          <w:sz w:val="20"/>
          <w:szCs w:val="20"/>
        </w:rPr>
        <w:t>contain</w:t>
      </w:r>
      <w:r w:rsidR="00BF3D28" w:rsidRPr="00BF3D28">
        <w:rPr>
          <w:sz w:val="20"/>
          <w:szCs w:val="20"/>
        </w:rPr>
        <w:t xml:space="preserve"> information from all three stages.</w:t>
      </w:r>
      <w:r w:rsidR="001B7A58">
        <w:rPr>
          <w:sz w:val="20"/>
          <w:szCs w:val="20"/>
        </w:rPr>
        <w:t xml:space="preserve">  See </w:t>
      </w:r>
      <w:r w:rsidR="001B7A58">
        <w:rPr>
          <w:bCs/>
          <w:sz w:val="20"/>
          <w:szCs w:val="20"/>
        </w:rPr>
        <w:t>Gilbert et al. (2017) for full details.</w:t>
      </w:r>
    </w:p>
    <w:p w:rsidR="00BF3D28" w:rsidRDefault="00BF3D28" w:rsidP="00BF3D28">
      <w:pPr>
        <w:jc w:val="both"/>
      </w:pPr>
    </w:p>
    <w:p w:rsidR="008E0F41" w:rsidRDefault="008E0F41" w:rsidP="00BF3D28">
      <w:pPr>
        <w:jc w:val="both"/>
      </w:pPr>
    </w:p>
    <w:p w:rsidR="00BF3D28" w:rsidRDefault="00BF3D28" w:rsidP="00BF3D28">
      <w:pPr>
        <w:jc w:val="center"/>
        <w:rPr>
          <w:b/>
        </w:rPr>
      </w:pPr>
      <w:r>
        <w:rPr>
          <w:b/>
        </w:rPr>
        <w:t>7</w:t>
      </w:r>
      <w:r w:rsidRPr="00354894">
        <w:rPr>
          <w:b/>
        </w:rPr>
        <w:t xml:space="preserve">. </w:t>
      </w:r>
      <w:r>
        <w:rPr>
          <w:b/>
        </w:rPr>
        <w:t xml:space="preserve"> Record linkage</w:t>
      </w:r>
    </w:p>
    <w:p w:rsidR="008E0F41" w:rsidRDefault="008E0F41" w:rsidP="00027A43">
      <w:pPr>
        <w:jc w:val="both"/>
      </w:pPr>
    </w:p>
    <w:p w:rsidR="00BF3D28" w:rsidRPr="008E0F41" w:rsidRDefault="009A7746" w:rsidP="009A7746">
      <w:pPr>
        <w:jc w:val="both"/>
        <w:rPr>
          <w:sz w:val="20"/>
          <w:szCs w:val="20"/>
        </w:rPr>
      </w:pPr>
      <w:r>
        <w:rPr>
          <w:sz w:val="20"/>
          <w:szCs w:val="20"/>
        </w:rPr>
        <w:t xml:space="preserve">Members of ADRC-E’s </w:t>
      </w:r>
      <w:r w:rsidR="008E0F41" w:rsidRPr="008E0F41">
        <w:rPr>
          <w:sz w:val="20"/>
          <w:szCs w:val="20"/>
        </w:rPr>
        <w:t>Bloomsbury Group</w:t>
      </w:r>
      <w:r>
        <w:rPr>
          <w:sz w:val="20"/>
          <w:szCs w:val="20"/>
        </w:rPr>
        <w:t xml:space="preserve"> have developed a </w:t>
      </w:r>
      <w:r w:rsidRPr="00EB1430">
        <w:rPr>
          <w:sz w:val="20"/>
          <w:szCs w:val="20"/>
        </w:rPr>
        <w:t xml:space="preserve">new more efficient method for record linkage with the desirable properties of probabilistic methods without some of </w:t>
      </w:r>
      <w:r>
        <w:rPr>
          <w:sz w:val="20"/>
          <w:szCs w:val="20"/>
        </w:rPr>
        <w:t>their</w:t>
      </w:r>
      <w:r w:rsidRPr="00EB1430">
        <w:rPr>
          <w:sz w:val="20"/>
          <w:szCs w:val="20"/>
        </w:rPr>
        <w:t xml:space="preserve"> drawbacks</w:t>
      </w:r>
      <w:r>
        <w:rPr>
          <w:sz w:val="20"/>
          <w:szCs w:val="20"/>
        </w:rPr>
        <w:t xml:space="preserve"> (Goldstein, </w:t>
      </w:r>
      <w:proofErr w:type="spellStart"/>
      <w:r w:rsidRPr="004727E5">
        <w:rPr>
          <w:sz w:val="20"/>
          <w:szCs w:val="20"/>
        </w:rPr>
        <w:t>Harron</w:t>
      </w:r>
      <w:proofErr w:type="spellEnd"/>
      <w:r>
        <w:rPr>
          <w:sz w:val="20"/>
          <w:szCs w:val="20"/>
        </w:rPr>
        <w:t xml:space="preserve"> and </w:t>
      </w:r>
      <w:r w:rsidRPr="004727E5">
        <w:rPr>
          <w:sz w:val="20"/>
          <w:szCs w:val="20"/>
        </w:rPr>
        <w:t>Cortina-</w:t>
      </w:r>
      <w:proofErr w:type="spellStart"/>
      <w:r w:rsidRPr="004727E5">
        <w:rPr>
          <w:sz w:val="20"/>
          <w:szCs w:val="20"/>
        </w:rPr>
        <w:t>Borja</w:t>
      </w:r>
      <w:proofErr w:type="spellEnd"/>
      <w:r>
        <w:rPr>
          <w:sz w:val="20"/>
          <w:szCs w:val="20"/>
        </w:rPr>
        <w:t xml:space="preserve">, 2017).  </w:t>
      </w:r>
    </w:p>
    <w:p w:rsidR="00BF3D28" w:rsidRPr="00A82763" w:rsidRDefault="00BF3D28" w:rsidP="00027A43">
      <w:pPr>
        <w:jc w:val="both"/>
      </w:pPr>
    </w:p>
    <w:p w:rsidR="00027A43" w:rsidRDefault="008E0F41" w:rsidP="008E0F41">
      <w:pPr>
        <w:jc w:val="both"/>
        <w:rPr>
          <w:b/>
        </w:rPr>
      </w:pPr>
      <w:r>
        <w:rPr>
          <w:b/>
        </w:rPr>
        <w:t>7.</w:t>
      </w:r>
      <w:r w:rsidR="00027A43" w:rsidRPr="00A84A9E">
        <w:rPr>
          <w:b/>
        </w:rPr>
        <w:t>1</w:t>
      </w:r>
      <w:r w:rsidR="00027A43">
        <w:rPr>
          <w:b/>
        </w:rPr>
        <w:t xml:space="preserve"> </w:t>
      </w:r>
      <w:r>
        <w:rPr>
          <w:b/>
        </w:rPr>
        <w:t>The problem</w:t>
      </w:r>
    </w:p>
    <w:p w:rsidR="00027A43" w:rsidRDefault="00027A43" w:rsidP="00027A43">
      <w:pPr>
        <w:jc w:val="both"/>
        <w:rPr>
          <w:b/>
        </w:rPr>
      </w:pPr>
    </w:p>
    <w:p w:rsidR="00C11E35" w:rsidRDefault="002108B4" w:rsidP="002108B4">
      <w:pPr>
        <w:jc w:val="both"/>
        <w:rPr>
          <w:sz w:val="20"/>
          <w:szCs w:val="20"/>
        </w:rPr>
      </w:pPr>
      <w:r w:rsidRPr="002108B4">
        <w:rPr>
          <w:sz w:val="20"/>
          <w:szCs w:val="20"/>
        </w:rPr>
        <w:t>Most p</w:t>
      </w:r>
      <w:r w:rsidR="00C11E35" w:rsidRPr="002108B4">
        <w:rPr>
          <w:sz w:val="20"/>
          <w:szCs w:val="20"/>
        </w:rPr>
        <w:t>robabilistic approach</w:t>
      </w:r>
      <w:r>
        <w:rPr>
          <w:sz w:val="20"/>
          <w:szCs w:val="20"/>
        </w:rPr>
        <w:t>es</w:t>
      </w:r>
      <w:r w:rsidR="00C11E35" w:rsidRPr="002108B4">
        <w:rPr>
          <w:sz w:val="20"/>
          <w:szCs w:val="20"/>
        </w:rPr>
        <w:t xml:space="preserve"> to record linkage </w:t>
      </w:r>
      <w:r w:rsidRPr="002108B4">
        <w:rPr>
          <w:sz w:val="20"/>
          <w:szCs w:val="20"/>
        </w:rPr>
        <w:t xml:space="preserve">are based on the </w:t>
      </w:r>
      <w:r>
        <w:rPr>
          <w:sz w:val="20"/>
          <w:szCs w:val="20"/>
        </w:rPr>
        <w:t xml:space="preserve">theory </w:t>
      </w:r>
      <w:r w:rsidRPr="002108B4">
        <w:rPr>
          <w:sz w:val="20"/>
          <w:szCs w:val="20"/>
        </w:rPr>
        <w:t xml:space="preserve">formulated by </w:t>
      </w:r>
      <w:r w:rsidR="007978D1" w:rsidRPr="002108B4">
        <w:rPr>
          <w:sz w:val="20"/>
          <w:szCs w:val="20"/>
        </w:rPr>
        <w:t xml:space="preserve">Fellegi and </w:t>
      </w:r>
      <w:proofErr w:type="spellStart"/>
      <w:r w:rsidR="007978D1" w:rsidRPr="002108B4">
        <w:rPr>
          <w:sz w:val="20"/>
          <w:szCs w:val="20"/>
        </w:rPr>
        <w:t>Sun</w:t>
      </w:r>
      <w:r w:rsidRPr="002108B4">
        <w:rPr>
          <w:sz w:val="20"/>
          <w:szCs w:val="20"/>
        </w:rPr>
        <w:t>ter</w:t>
      </w:r>
      <w:proofErr w:type="spellEnd"/>
      <w:r w:rsidRPr="002108B4">
        <w:rPr>
          <w:sz w:val="20"/>
          <w:szCs w:val="20"/>
        </w:rPr>
        <w:t xml:space="preserve"> (</w:t>
      </w:r>
      <w:r w:rsidR="007978D1" w:rsidRPr="002108B4">
        <w:rPr>
          <w:sz w:val="20"/>
          <w:szCs w:val="20"/>
        </w:rPr>
        <w:t>1969).</w:t>
      </w:r>
      <w:r w:rsidR="007978D1">
        <w:rPr>
          <w:sz w:val="20"/>
          <w:szCs w:val="20"/>
        </w:rPr>
        <w:t xml:space="preserve">  T</w:t>
      </w:r>
      <w:r w:rsidR="007978D1" w:rsidRPr="008A0E61">
        <w:rPr>
          <w:sz w:val="20"/>
          <w:szCs w:val="20"/>
        </w:rPr>
        <w:t xml:space="preserve">he probability of the observed agreement/non-agreement of </w:t>
      </w:r>
      <w:r w:rsidR="007978D1" w:rsidRPr="007978D1">
        <w:rPr>
          <w:i/>
          <w:iCs/>
          <w:sz w:val="20"/>
          <w:szCs w:val="20"/>
        </w:rPr>
        <w:t>p</w:t>
      </w:r>
      <w:r w:rsidR="007978D1">
        <w:rPr>
          <w:sz w:val="20"/>
          <w:szCs w:val="20"/>
        </w:rPr>
        <w:t xml:space="preserve"> </w:t>
      </w:r>
      <w:r w:rsidR="007978D1" w:rsidRPr="008A0E61">
        <w:rPr>
          <w:sz w:val="20"/>
          <w:szCs w:val="20"/>
        </w:rPr>
        <w:t>identifi</w:t>
      </w:r>
      <w:r w:rsidR="007978D1">
        <w:rPr>
          <w:sz w:val="20"/>
          <w:szCs w:val="20"/>
        </w:rPr>
        <w:t xml:space="preserve">ers for the </w:t>
      </w:r>
      <w:r w:rsidR="007978D1" w:rsidRPr="007978D1">
        <w:rPr>
          <w:i/>
          <w:iCs/>
          <w:sz w:val="20"/>
          <w:szCs w:val="20"/>
        </w:rPr>
        <w:t>l</w:t>
      </w:r>
      <w:r>
        <w:rPr>
          <w:sz w:val="20"/>
          <w:szCs w:val="20"/>
        </w:rPr>
        <w:t>th pair of records is</w:t>
      </w:r>
    </w:p>
    <w:p w:rsidR="002108B4" w:rsidRDefault="002108B4" w:rsidP="002108B4">
      <w:pPr>
        <w:jc w:val="both"/>
        <w:rPr>
          <w:sz w:val="20"/>
          <w:szCs w:val="20"/>
        </w:rPr>
      </w:pPr>
    </w:p>
    <w:p w:rsidR="00C11E35" w:rsidRPr="00C766F3" w:rsidRDefault="00C11E35" w:rsidP="00B752AB">
      <w:pPr>
        <w:jc w:val="both"/>
        <w:rPr>
          <w:rFonts w:asciiTheme="majorBidi" w:hAnsiTheme="majorBidi" w:cstheme="majorBidi"/>
          <w:sz w:val="20"/>
          <w:szCs w:val="20"/>
        </w:rPr>
      </w:pPr>
      <m:oMathPara>
        <m:oMathParaPr>
          <m:jc m:val="right"/>
        </m:oMathParaPr>
        <m:oMath>
          <m:r>
            <w:rPr>
              <w:rFonts w:ascii="Cambria Math" w:hAnsi="Cambria Math" w:cstheme="majorBidi"/>
              <w:sz w:val="20"/>
              <w:szCs w:val="20"/>
            </w:rPr>
            <m:t>P</m:t>
          </m:r>
          <m:d>
            <m:dPr>
              <m:ctrlPr>
                <w:rPr>
                  <w:rFonts w:ascii="Cambria Math" w:hAnsi="Cambria Math" w:cstheme="majorBidi"/>
                  <w:i/>
                  <w:iCs/>
                  <w:sz w:val="20"/>
                  <w:szCs w:val="20"/>
                </w:rPr>
              </m:ctrlPr>
            </m:dPr>
            <m:e>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l1</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lp</m:t>
                  </m:r>
                </m:sub>
              </m:sSub>
            </m:e>
          </m:d>
          <m:r>
            <w:rPr>
              <w:rFonts w:ascii="Cambria Math" w:hAnsi="Cambria Math" w:cstheme="majorBidi"/>
              <w:sz w:val="20"/>
              <w:szCs w:val="20"/>
            </w:rPr>
            <m:t>=</m:t>
          </m:r>
          <m:d>
            <m:dPr>
              <m:ctrlPr>
                <w:rPr>
                  <w:rFonts w:ascii="Cambria Math" w:hAnsi="Cambria Math" w:cstheme="majorBidi"/>
                  <w:i/>
                  <w:iCs/>
                  <w:sz w:val="20"/>
                  <w:szCs w:val="20"/>
                </w:rPr>
              </m:ctrlPr>
            </m:dPr>
            <m:e>
              <m:nary>
                <m:naryPr>
                  <m:chr m:val="∏"/>
                  <m:limLoc m:val="undOvr"/>
                  <m:ctrlPr>
                    <w:rPr>
                      <w:rFonts w:ascii="Cambria Math" w:hAnsi="Cambria Math" w:cstheme="majorBidi"/>
                      <w:i/>
                      <w:iCs/>
                      <w:sz w:val="20"/>
                      <w:szCs w:val="20"/>
                    </w:rPr>
                  </m:ctrlPr>
                </m:naryPr>
                <m:sub>
                  <m:r>
                    <w:rPr>
                      <w:rFonts w:ascii="Cambria Math" w:hAnsi="Cambria Math" w:cstheme="majorBidi"/>
                      <w:sz w:val="20"/>
                      <w:szCs w:val="20"/>
                    </w:rPr>
                    <m:t>j=1</m:t>
                  </m:r>
                </m:sub>
                <m:sup>
                  <m:r>
                    <w:rPr>
                      <w:rFonts w:ascii="Cambria Math" w:hAnsi="Cambria Math" w:cstheme="majorBidi"/>
                      <w:sz w:val="20"/>
                      <w:szCs w:val="20"/>
                    </w:rPr>
                    <m:t>p</m:t>
                  </m:r>
                </m:sup>
                <m:e>
                  <m:sSubSup>
                    <m:sSubSupPr>
                      <m:ctrlPr>
                        <w:rPr>
                          <w:rFonts w:ascii="Cambria Math" w:hAnsi="Cambria Math" w:cstheme="majorBidi"/>
                          <w:i/>
                          <w:iCs/>
                          <w:sz w:val="20"/>
                          <w:szCs w:val="20"/>
                        </w:rPr>
                      </m:ctrlPr>
                    </m:sSubSupPr>
                    <m:e>
                      <m:r>
                        <w:rPr>
                          <w:rFonts w:ascii="Cambria Math" w:hAnsi="Cambria Math" w:cstheme="majorBidi"/>
                          <w:sz w:val="20"/>
                          <w:szCs w:val="20"/>
                        </w:rPr>
                        <m:t>m</m:t>
                      </m:r>
                    </m:e>
                    <m:sub>
                      <m:r>
                        <w:rPr>
                          <w:rFonts w:ascii="Cambria Math" w:hAnsi="Cambria Math" w:cstheme="majorBidi"/>
                          <w:sz w:val="20"/>
                          <w:szCs w:val="20"/>
                        </w:rPr>
                        <m:t>j</m:t>
                      </m:r>
                    </m:sub>
                    <m:sup>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lj</m:t>
                          </m:r>
                        </m:sub>
                      </m:sSub>
                    </m:sup>
                  </m:sSubSup>
                  <m:sSup>
                    <m:sSupPr>
                      <m:ctrlPr>
                        <w:rPr>
                          <w:rFonts w:ascii="Cambria Math" w:hAnsi="Cambria Math" w:cstheme="majorBidi"/>
                          <w:i/>
                          <w:iCs/>
                          <w:sz w:val="20"/>
                          <w:szCs w:val="20"/>
                        </w:rPr>
                      </m:ctrlPr>
                    </m:sSupPr>
                    <m:e>
                      <m:d>
                        <m:dPr>
                          <m:ctrlPr>
                            <w:rPr>
                              <w:rFonts w:ascii="Cambria Math" w:hAnsi="Cambria Math" w:cstheme="majorBidi"/>
                              <w:i/>
                              <w:iCs/>
                              <w:sz w:val="20"/>
                              <w:szCs w:val="20"/>
                            </w:rPr>
                          </m:ctrlPr>
                        </m:dPr>
                        <m:e>
                          <m:r>
                            <w:rPr>
                              <w:rFonts w:ascii="Cambria Math" w:hAnsi="Cambria Math" w:cstheme="majorBidi"/>
                              <w:sz w:val="20"/>
                              <w:szCs w:val="20"/>
                            </w:rPr>
                            <m:t>1-</m:t>
                          </m:r>
                          <m:sSub>
                            <m:sSubPr>
                              <m:ctrlPr>
                                <w:rPr>
                                  <w:rFonts w:ascii="Cambria Math" w:hAnsi="Cambria Math" w:cstheme="majorBidi"/>
                                  <w:i/>
                                  <w:iCs/>
                                  <w:sz w:val="20"/>
                                  <w:szCs w:val="20"/>
                                </w:rPr>
                              </m:ctrlPr>
                            </m:sSubPr>
                            <m:e>
                              <m:r>
                                <w:rPr>
                                  <w:rFonts w:ascii="Cambria Math" w:hAnsi="Cambria Math" w:cstheme="majorBidi"/>
                                  <w:sz w:val="20"/>
                                  <w:szCs w:val="20"/>
                                </w:rPr>
                                <m:t>m</m:t>
                              </m:r>
                            </m:e>
                            <m:sub>
                              <m:r>
                                <w:rPr>
                                  <w:rFonts w:ascii="Cambria Math" w:hAnsi="Cambria Math" w:cstheme="majorBidi"/>
                                  <w:sz w:val="20"/>
                                  <w:szCs w:val="20"/>
                                </w:rPr>
                                <m:t>j</m:t>
                              </m:r>
                            </m:sub>
                          </m:sSub>
                        </m:e>
                      </m:d>
                    </m:e>
                    <m:sup>
                      <m:r>
                        <w:rPr>
                          <w:rFonts w:ascii="Cambria Math" w:hAnsi="Cambria Math" w:cstheme="majorBidi"/>
                          <w:sz w:val="20"/>
                          <w:szCs w:val="20"/>
                        </w:rPr>
                        <m:t>1-</m:t>
                      </m:r>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lj</m:t>
                          </m:r>
                        </m:sub>
                      </m:sSub>
                    </m:sup>
                  </m:sSup>
                </m:e>
              </m:nary>
              <m:r>
                <w:rPr>
                  <w:rFonts w:ascii="Cambria Math" w:hAnsi="Cambria Math" w:cstheme="majorBidi"/>
                  <w:sz w:val="20"/>
                  <w:szCs w:val="20"/>
                </w:rPr>
                <m:t xml:space="preserve"> </m:t>
              </m:r>
            </m:e>
          </m:d>
          <m:r>
            <w:rPr>
              <w:rFonts w:ascii="Cambria Math" w:hAnsi="Cambria Math" w:cstheme="majorBidi"/>
              <w:sz w:val="20"/>
              <w:szCs w:val="20"/>
            </w:rPr>
            <m:t>π+</m:t>
          </m:r>
          <m:d>
            <m:dPr>
              <m:ctrlPr>
                <w:rPr>
                  <w:rFonts w:ascii="Cambria Math" w:hAnsi="Cambria Math" w:cstheme="majorBidi"/>
                  <w:i/>
                  <w:iCs/>
                  <w:sz w:val="20"/>
                  <w:szCs w:val="20"/>
                </w:rPr>
              </m:ctrlPr>
            </m:dPr>
            <m:e>
              <m:nary>
                <m:naryPr>
                  <m:chr m:val="∏"/>
                  <m:limLoc m:val="undOvr"/>
                  <m:ctrlPr>
                    <w:rPr>
                      <w:rFonts w:ascii="Cambria Math" w:hAnsi="Cambria Math" w:cstheme="majorBidi"/>
                      <w:i/>
                      <w:iCs/>
                      <w:sz w:val="20"/>
                      <w:szCs w:val="20"/>
                    </w:rPr>
                  </m:ctrlPr>
                </m:naryPr>
                <m:sub>
                  <m:r>
                    <w:rPr>
                      <w:rFonts w:ascii="Cambria Math" w:hAnsi="Cambria Math" w:cstheme="majorBidi"/>
                      <w:sz w:val="20"/>
                      <w:szCs w:val="20"/>
                    </w:rPr>
                    <m:t>j=1</m:t>
                  </m:r>
                </m:sub>
                <m:sup>
                  <m:r>
                    <w:rPr>
                      <w:rFonts w:ascii="Cambria Math" w:hAnsi="Cambria Math" w:cstheme="majorBidi"/>
                      <w:sz w:val="20"/>
                      <w:szCs w:val="20"/>
                    </w:rPr>
                    <m:t>p</m:t>
                  </m:r>
                </m:sup>
                <m:e>
                  <m:sSubSup>
                    <m:sSubSupPr>
                      <m:ctrlPr>
                        <w:rPr>
                          <w:rFonts w:ascii="Cambria Math" w:hAnsi="Cambria Math" w:cstheme="majorBidi"/>
                          <w:i/>
                          <w:iCs/>
                          <w:sz w:val="20"/>
                          <w:szCs w:val="20"/>
                        </w:rPr>
                      </m:ctrlPr>
                    </m:sSubSupPr>
                    <m:e>
                      <m:r>
                        <w:rPr>
                          <w:rFonts w:ascii="Cambria Math" w:hAnsi="Cambria Math" w:cstheme="majorBidi"/>
                          <w:sz w:val="20"/>
                          <w:szCs w:val="20"/>
                        </w:rPr>
                        <m:t>u</m:t>
                      </m:r>
                    </m:e>
                    <m:sub>
                      <m:r>
                        <w:rPr>
                          <w:rFonts w:ascii="Cambria Math" w:hAnsi="Cambria Math" w:cstheme="majorBidi"/>
                          <w:sz w:val="20"/>
                          <w:szCs w:val="20"/>
                        </w:rPr>
                        <m:t>j</m:t>
                      </m:r>
                    </m:sub>
                    <m:sup>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lj</m:t>
                          </m:r>
                        </m:sub>
                      </m:sSub>
                    </m:sup>
                  </m:sSubSup>
                </m:e>
              </m:nary>
              <m:sSup>
                <m:sSupPr>
                  <m:ctrlPr>
                    <w:rPr>
                      <w:rFonts w:ascii="Cambria Math" w:hAnsi="Cambria Math" w:cstheme="majorBidi"/>
                      <w:i/>
                      <w:iCs/>
                      <w:sz w:val="20"/>
                      <w:szCs w:val="20"/>
                    </w:rPr>
                  </m:ctrlPr>
                </m:sSupPr>
                <m:e>
                  <m:d>
                    <m:dPr>
                      <m:ctrlPr>
                        <w:rPr>
                          <w:rFonts w:ascii="Cambria Math" w:hAnsi="Cambria Math" w:cstheme="majorBidi"/>
                          <w:i/>
                          <w:iCs/>
                          <w:sz w:val="20"/>
                          <w:szCs w:val="20"/>
                        </w:rPr>
                      </m:ctrlPr>
                    </m:dPr>
                    <m:e>
                      <m:r>
                        <w:rPr>
                          <w:rFonts w:ascii="Cambria Math" w:hAnsi="Cambria Math" w:cstheme="majorBidi"/>
                          <w:sz w:val="20"/>
                          <w:szCs w:val="20"/>
                        </w:rPr>
                        <m:t>1-</m:t>
                      </m:r>
                      <m:sSub>
                        <m:sSubPr>
                          <m:ctrlPr>
                            <w:rPr>
                              <w:rFonts w:ascii="Cambria Math" w:hAnsi="Cambria Math" w:cstheme="majorBidi"/>
                              <w:i/>
                              <w:iCs/>
                              <w:sz w:val="20"/>
                              <w:szCs w:val="20"/>
                            </w:rPr>
                          </m:ctrlPr>
                        </m:sSubPr>
                        <m:e>
                          <m:r>
                            <w:rPr>
                              <w:rFonts w:ascii="Cambria Math" w:hAnsi="Cambria Math" w:cstheme="majorBidi"/>
                              <w:sz w:val="20"/>
                              <w:szCs w:val="20"/>
                            </w:rPr>
                            <m:t>u</m:t>
                          </m:r>
                        </m:e>
                        <m:sub>
                          <m:r>
                            <w:rPr>
                              <w:rFonts w:ascii="Cambria Math" w:hAnsi="Cambria Math" w:cstheme="majorBidi"/>
                              <w:sz w:val="20"/>
                              <w:szCs w:val="20"/>
                            </w:rPr>
                            <m:t>j</m:t>
                          </m:r>
                        </m:sub>
                      </m:sSub>
                    </m:e>
                  </m:d>
                </m:e>
                <m:sup>
                  <m:r>
                    <w:rPr>
                      <w:rFonts w:ascii="Cambria Math" w:hAnsi="Cambria Math" w:cstheme="majorBidi"/>
                      <w:sz w:val="20"/>
                      <w:szCs w:val="20"/>
                    </w:rPr>
                    <m:t>1-</m:t>
                  </m:r>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lj</m:t>
                      </m:r>
                    </m:sub>
                  </m:sSub>
                </m:sup>
              </m:sSup>
            </m:e>
          </m:d>
          <m:d>
            <m:dPr>
              <m:ctrlPr>
                <w:rPr>
                  <w:rFonts w:ascii="Cambria Math" w:hAnsi="Cambria Math" w:cstheme="majorBidi"/>
                  <w:i/>
                  <w:sz w:val="20"/>
                  <w:szCs w:val="20"/>
                </w:rPr>
              </m:ctrlPr>
            </m:dPr>
            <m:e>
              <m:r>
                <w:rPr>
                  <w:rFonts w:ascii="Cambria Math" w:hAnsi="Cambria Math" w:cstheme="majorBidi"/>
                  <w:sz w:val="20"/>
                  <w:szCs w:val="20"/>
                </w:rPr>
                <m:t>1-π</m:t>
              </m:r>
            </m:e>
          </m:d>
          <m:r>
            <w:rPr>
              <w:rFonts w:ascii="Cambria Math" w:hAnsi="Cambria Math" w:cstheme="majorBidi"/>
              <w:sz w:val="20"/>
              <w:szCs w:val="20"/>
            </w:rPr>
            <m:t>,                   (1)</m:t>
          </m:r>
        </m:oMath>
      </m:oMathPara>
    </w:p>
    <w:p w:rsidR="00C11E35" w:rsidRPr="00C11E35" w:rsidRDefault="00C11E35" w:rsidP="00C11E35">
      <w:pPr>
        <w:jc w:val="both"/>
        <w:rPr>
          <w:rFonts w:asciiTheme="majorBidi" w:hAnsiTheme="majorBidi" w:cstheme="majorBidi"/>
          <w:sz w:val="20"/>
          <w:szCs w:val="20"/>
        </w:rPr>
      </w:pPr>
    </w:p>
    <w:p w:rsidR="00164FC5" w:rsidRDefault="00C11E35" w:rsidP="009F2B95">
      <w:pPr>
        <w:jc w:val="both"/>
        <w:rPr>
          <w:sz w:val="20"/>
          <w:szCs w:val="20"/>
        </w:rPr>
      </w:pPr>
      <w:proofErr w:type="gramStart"/>
      <w:r>
        <w:rPr>
          <w:sz w:val="20"/>
          <w:szCs w:val="20"/>
        </w:rPr>
        <w:t>where</w:t>
      </w:r>
      <w:proofErr w:type="gramEnd"/>
      <w:r>
        <w:rPr>
          <w:sz w:val="20"/>
          <w:szCs w:val="20"/>
        </w:rPr>
        <w:t xml:space="preserve"> </w:t>
      </w:r>
      <w:proofErr w:type="spellStart"/>
      <w:r w:rsidR="007978D1" w:rsidRPr="007D63CD">
        <w:rPr>
          <w:i/>
          <w:iCs/>
          <w:sz w:val="20"/>
          <w:szCs w:val="20"/>
        </w:rPr>
        <w:t>y</w:t>
      </w:r>
      <w:r w:rsidR="007978D1" w:rsidRPr="007D63CD">
        <w:rPr>
          <w:i/>
          <w:iCs/>
          <w:sz w:val="20"/>
          <w:szCs w:val="20"/>
          <w:vertAlign w:val="subscript"/>
        </w:rPr>
        <w:t>lj</w:t>
      </w:r>
      <w:proofErr w:type="spellEnd"/>
      <w:r w:rsidR="007978D1">
        <w:rPr>
          <w:sz w:val="20"/>
          <w:szCs w:val="20"/>
        </w:rPr>
        <w:t xml:space="preserve"> = 1 (0) if the </w:t>
      </w:r>
      <w:proofErr w:type="spellStart"/>
      <w:r w:rsidR="007978D1" w:rsidRPr="007D63CD">
        <w:rPr>
          <w:i/>
          <w:iCs/>
          <w:sz w:val="20"/>
          <w:szCs w:val="20"/>
        </w:rPr>
        <w:t>j</w:t>
      </w:r>
      <w:r w:rsidR="007978D1">
        <w:rPr>
          <w:sz w:val="20"/>
          <w:szCs w:val="20"/>
        </w:rPr>
        <w:t>th</w:t>
      </w:r>
      <w:proofErr w:type="spellEnd"/>
      <w:r w:rsidR="007978D1">
        <w:rPr>
          <w:sz w:val="20"/>
          <w:szCs w:val="20"/>
        </w:rPr>
        <w:t xml:space="preserve"> identifier agrees (</w:t>
      </w:r>
      <w:r w:rsidR="009F2B95">
        <w:rPr>
          <w:sz w:val="20"/>
          <w:szCs w:val="20"/>
        </w:rPr>
        <w:t>disagrees</w:t>
      </w:r>
      <w:r w:rsidR="007978D1">
        <w:rPr>
          <w:sz w:val="20"/>
          <w:szCs w:val="20"/>
        </w:rPr>
        <w:t xml:space="preserve">).  </w:t>
      </w:r>
      <w:r w:rsidR="008A0E61" w:rsidRPr="008A0E61">
        <w:rPr>
          <w:sz w:val="20"/>
          <w:szCs w:val="20"/>
        </w:rPr>
        <w:t xml:space="preserve">It is the sum of a term corresponding to the situation </w:t>
      </w:r>
      <w:r w:rsidR="007D63CD">
        <w:rPr>
          <w:sz w:val="20"/>
          <w:szCs w:val="20"/>
        </w:rPr>
        <w:t xml:space="preserve">where </w:t>
      </w:r>
      <w:r w:rsidR="008A0E61" w:rsidRPr="008A0E61">
        <w:rPr>
          <w:sz w:val="20"/>
          <w:szCs w:val="20"/>
        </w:rPr>
        <w:t xml:space="preserve">the record pair is a </w:t>
      </w:r>
      <w:r w:rsidR="007D63CD">
        <w:rPr>
          <w:sz w:val="20"/>
          <w:szCs w:val="20"/>
        </w:rPr>
        <w:t xml:space="preserve">true </w:t>
      </w:r>
      <w:r w:rsidR="008A0E61" w:rsidRPr="008A0E61">
        <w:rPr>
          <w:sz w:val="20"/>
          <w:szCs w:val="20"/>
        </w:rPr>
        <w:t xml:space="preserve">match and a term where the record pair is not a </w:t>
      </w:r>
      <w:r w:rsidR="002337D1">
        <w:rPr>
          <w:sz w:val="20"/>
          <w:szCs w:val="20"/>
        </w:rPr>
        <w:t xml:space="preserve">true </w:t>
      </w:r>
      <w:r w:rsidR="008A0E61" w:rsidRPr="008A0E61">
        <w:rPr>
          <w:sz w:val="20"/>
          <w:szCs w:val="20"/>
        </w:rPr>
        <w:t xml:space="preserve">match, and depends on the probabilities that an identifier </w:t>
      </w:r>
      <w:r w:rsidR="007D63CD">
        <w:rPr>
          <w:sz w:val="20"/>
          <w:szCs w:val="20"/>
        </w:rPr>
        <w:t>agrees in these two situations (</w:t>
      </w:r>
      <w:r w:rsidR="008A0E61" w:rsidRPr="008A0E61">
        <w:rPr>
          <w:sz w:val="20"/>
          <w:szCs w:val="20"/>
        </w:rPr>
        <w:t>latent classes</w:t>
      </w:r>
      <w:r w:rsidR="007D63CD">
        <w:rPr>
          <w:sz w:val="20"/>
          <w:szCs w:val="20"/>
        </w:rPr>
        <w:t>)</w:t>
      </w:r>
      <w:r w:rsidR="00AB6118">
        <w:rPr>
          <w:sz w:val="20"/>
          <w:szCs w:val="20"/>
        </w:rPr>
        <w:t>:</w:t>
      </w:r>
      <w:r w:rsidR="008A0E61" w:rsidRPr="008A0E61">
        <w:rPr>
          <w:sz w:val="20"/>
          <w:szCs w:val="20"/>
        </w:rPr>
        <w:t xml:space="preserve"> </w:t>
      </w:r>
      <w:proofErr w:type="spellStart"/>
      <w:r w:rsidR="002337D1" w:rsidRPr="00164FC5">
        <w:rPr>
          <w:i/>
          <w:iCs/>
          <w:sz w:val="20"/>
          <w:szCs w:val="20"/>
        </w:rPr>
        <w:t>m</w:t>
      </w:r>
      <w:r w:rsidR="002337D1" w:rsidRPr="00164FC5">
        <w:rPr>
          <w:i/>
          <w:iCs/>
          <w:sz w:val="20"/>
          <w:szCs w:val="20"/>
          <w:vertAlign w:val="subscript"/>
        </w:rPr>
        <w:t>j</w:t>
      </w:r>
      <w:proofErr w:type="spellEnd"/>
      <w:r w:rsidR="002337D1" w:rsidRPr="008A0E61">
        <w:rPr>
          <w:sz w:val="20"/>
          <w:szCs w:val="20"/>
        </w:rPr>
        <w:t xml:space="preserve"> and </w:t>
      </w:r>
      <w:proofErr w:type="spellStart"/>
      <w:r w:rsidR="002337D1" w:rsidRPr="00164FC5">
        <w:rPr>
          <w:i/>
          <w:iCs/>
          <w:sz w:val="20"/>
          <w:szCs w:val="20"/>
        </w:rPr>
        <w:t>u</w:t>
      </w:r>
      <w:r w:rsidR="002337D1" w:rsidRPr="00164FC5">
        <w:rPr>
          <w:i/>
          <w:iCs/>
          <w:sz w:val="20"/>
          <w:szCs w:val="20"/>
          <w:vertAlign w:val="subscript"/>
        </w:rPr>
        <w:t>j</w:t>
      </w:r>
      <w:proofErr w:type="spellEnd"/>
      <w:r w:rsidR="002337D1">
        <w:rPr>
          <w:sz w:val="20"/>
          <w:szCs w:val="20"/>
        </w:rPr>
        <w:t>, respectively</w:t>
      </w:r>
      <w:r w:rsidR="008A0E61" w:rsidRPr="008A0E61">
        <w:rPr>
          <w:sz w:val="20"/>
          <w:szCs w:val="20"/>
        </w:rPr>
        <w:t>.</w:t>
      </w:r>
      <w:r w:rsidR="002337D1">
        <w:rPr>
          <w:sz w:val="20"/>
          <w:szCs w:val="20"/>
        </w:rPr>
        <w:t xml:space="preserve"> </w:t>
      </w:r>
      <w:r w:rsidR="005A5A59">
        <w:rPr>
          <w:sz w:val="20"/>
          <w:szCs w:val="20"/>
        </w:rPr>
        <w:t xml:space="preserve"> </w:t>
      </w:r>
      <w:r w:rsidR="007D63CD" w:rsidRPr="006A5FDF">
        <w:rPr>
          <w:sz w:val="20"/>
          <w:szCs w:val="20"/>
        </w:rPr>
        <w:t>Here π is</w:t>
      </w:r>
      <w:r w:rsidR="007D63CD">
        <w:rPr>
          <w:sz w:val="20"/>
          <w:szCs w:val="20"/>
        </w:rPr>
        <w:t xml:space="preserve"> the probably that a record </w:t>
      </w:r>
      <w:r w:rsidR="006374B0">
        <w:rPr>
          <w:sz w:val="20"/>
          <w:szCs w:val="20"/>
        </w:rPr>
        <w:t xml:space="preserve">pair </w:t>
      </w:r>
      <w:r w:rsidR="007D63CD">
        <w:rPr>
          <w:sz w:val="20"/>
          <w:szCs w:val="20"/>
        </w:rPr>
        <w:t xml:space="preserve">is a true match. </w:t>
      </w:r>
      <w:r w:rsidR="00033303">
        <w:rPr>
          <w:sz w:val="20"/>
          <w:szCs w:val="20"/>
        </w:rPr>
        <w:t xml:space="preserve"> </w:t>
      </w:r>
      <w:r w:rsidR="008A0E61" w:rsidRPr="008A0E61">
        <w:rPr>
          <w:sz w:val="20"/>
          <w:szCs w:val="20"/>
        </w:rPr>
        <w:t>The produ</w:t>
      </w:r>
      <w:r w:rsidR="00AB6118">
        <w:rPr>
          <w:sz w:val="20"/>
          <w:szCs w:val="20"/>
        </w:rPr>
        <w:t>ct of</w:t>
      </w:r>
      <w:r w:rsidR="002337D1" w:rsidRPr="00AB6118">
        <w:rPr>
          <w:sz w:val="20"/>
          <w:szCs w:val="20"/>
        </w:rPr>
        <w:t xml:space="preserve"> </w:t>
      </w:r>
      <m:oMath>
        <m:r>
          <w:rPr>
            <w:rFonts w:ascii="Cambria Math" w:hAnsi="Cambria Math" w:cstheme="majorBidi"/>
            <w:sz w:val="20"/>
            <w:szCs w:val="20"/>
          </w:rPr>
          <m:t>P</m:t>
        </m:r>
        <m:d>
          <m:dPr>
            <m:ctrlPr>
              <w:rPr>
                <w:rFonts w:ascii="Cambria Math" w:hAnsi="Cambria Math" w:cstheme="majorBidi"/>
                <w:i/>
                <w:iCs/>
                <w:sz w:val="20"/>
                <w:szCs w:val="20"/>
              </w:rPr>
            </m:ctrlPr>
          </m:dPr>
          <m:e>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l1</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lp</m:t>
                </m:r>
              </m:sub>
            </m:sSub>
          </m:e>
        </m:d>
      </m:oMath>
      <w:r w:rsidR="008A0E61" w:rsidRPr="008A0E61">
        <w:rPr>
          <w:sz w:val="20"/>
          <w:szCs w:val="20"/>
        </w:rPr>
        <w:t xml:space="preserve"> over record pairs is assumed to be </w:t>
      </w:r>
      <w:proofErr w:type="gramStart"/>
      <w:r w:rsidR="008A0E61" w:rsidRPr="008A0E61">
        <w:rPr>
          <w:sz w:val="20"/>
          <w:szCs w:val="20"/>
        </w:rPr>
        <w:t>a likelihood</w:t>
      </w:r>
      <w:proofErr w:type="gramEnd"/>
      <w:r w:rsidR="008A0E61" w:rsidRPr="008A0E61">
        <w:rPr>
          <w:sz w:val="20"/>
          <w:szCs w:val="20"/>
        </w:rPr>
        <w:t xml:space="preserve"> and </w:t>
      </w:r>
      <w:r w:rsidR="008A0E61" w:rsidRPr="008A0E61">
        <w:rPr>
          <w:sz w:val="20"/>
          <w:szCs w:val="20"/>
        </w:rPr>
        <w:lastRenderedPageBreak/>
        <w:t xml:space="preserve">maximised to obtain estimates of </w:t>
      </w:r>
      <w:proofErr w:type="spellStart"/>
      <w:r w:rsidR="007978D1" w:rsidRPr="00164FC5">
        <w:rPr>
          <w:i/>
          <w:iCs/>
          <w:sz w:val="20"/>
          <w:szCs w:val="20"/>
        </w:rPr>
        <w:t>m</w:t>
      </w:r>
      <w:r w:rsidR="007978D1" w:rsidRPr="00164FC5">
        <w:rPr>
          <w:i/>
          <w:iCs/>
          <w:sz w:val="20"/>
          <w:szCs w:val="20"/>
          <w:vertAlign w:val="subscript"/>
        </w:rPr>
        <w:t>j</w:t>
      </w:r>
      <w:proofErr w:type="spellEnd"/>
      <w:r w:rsidR="007978D1" w:rsidRPr="008A0E61">
        <w:rPr>
          <w:sz w:val="20"/>
          <w:szCs w:val="20"/>
        </w:rPr>
        <w:t xml:space="preserve"> and </w:t>
      </w:r>
      <w:proofErr w:type="spellStart"/>
      <w:r w:rsidR="007978D1" w:rsidRPr="00164FC5">
        <w:rPr>
          <w:i/>
          <w:iCs/>
          <w:sz w:val="20"/>
          <w:szCs w:val="20"/>
        </w:rPr>
        <w:t>u</w:t>
      </w:r>
      <w:r w:rsidR="007978D1" w:rsidRPr="00164FC5">
        <w:rPr>
          <w:i/>
          <w:iCs/>
          <w:sz w:val="20"/>
          <w:szCs w:val="20"/>
          <w:vertAlign w:val="subscript"/>
        </w:rPr>
        <w:t>j</w:t>
      </w:r>
      <w:proofErr w:type="spellEnd"/>
      <w:r w:rsidR="007978D1">
        <w:rPr>
          <w:sz w:val="20"/>
          <w:szCs w:val="20"/>
        </w:rPr>
        <w:t xml:space="preserve">, </w:t>
      </w:r>
      <w:r w:rsidR="008A0E61" w:rsidRPr="008A0E61">
        <w:rPr>
          <w:sz w:val="20"/>
          <w:szCs w:val="20"/>
        </w:rPr>
        <w:t xml:space="preserve">typically using the </w:t>
      </w:r>
      <w:r w:rsidR="007978D1" w:rsidRPr="00F65E2A">
        <w:rPr>
          <w:sz w:val="20"/>
          <w:szCs w:val="20"/>
        </w:rPr>
        <w:t>Expectation Maximisation</w:t>
      </w:r>
      <w:r w:rsidR="007978D1">
        <w:rPr>
          <w:sz w:val="20"/>
          <w:szCs w:val="20"/>
        </w:rPr>
        <w:t xml:space="preserve"> (</w:t>
      </w:r>
      <w:r w:rsidR="008A0E61" w:rsidRPr="008A0E61">
        <w:rPr>
          <w:sz w:val="20"/>
          <w:szCs w:val="20"/>
        </w:rPr>
        <w:t>EM</w:t>
      </w:r>
      <w:r w:rsidR="007978D1">
        <w:rPr>
          <w:sz w:val="20"/>
          <w:szCs w:val="20"/>
        </w:rPr>
        <w:t>)</w:t>
      </w:r>
      <w:r w:rsidR="008A0E61" w:rsidRPr="008A0E61">
        <w:rPr>
          <w:sz w:val="20"/>
          <w:szCs w:val="20"/>
        </w:rPr>
        <w:t xml:space="preserve"> algorithm.</w:t>
      </w:r>
      <w:r w:rsidR="007D63CD">
        <w:rPr>
          <w:sz w:val="20"/>
          <w:szCs w:val="20"/>
        </w:rPr>
        <w:t xml:space="preserve">  </w:t>
      </w:r>
      <w:r w:rsidR="008A0E61" w:rsidRPr="008A0E61">
        <w:rPr>
          <w:sz w:val="20"/>
          <w:szCs w:val="20"/>
        </w:rPr>
        <w:t xml:space="preserve">Once </w:t>
      </w:r>
      <w:r w:rsidR="00164FC5">
        <w:rPr>
          <w:sz w:val="20"/>
          <w:szCs w:val="20"/>
        </w:rPr>
        <w:t xml:space="preserve">the </w:t>
      </w:r>
      <w:proofErr w:type="spellStart"/>
      <w:r w:rsidR="00164FC5" w:rsidRPr="00164FC5">
        <w:rPr>
          <w:i/>
          <w:iCs/>
          <w:sz w:val="20"/>
          <w:szCs w:val="20"/>
        </w:rPr>
        <w:t>m</w:t>
      </w:r>
      <w:r w:rsidR="008A0E61" w:rsidRPr="00164FC5">
        <w:rPr>
          <w:i/>
          <w:iCs/>
          <w:sz w:val="20"/>
          <w:szCs w:val="20"/>
          <w:vertAlign w:val="subscript"/>
        </w:rPr>
        <w:t>j</w:t>
      </w:r>
      <w:proofErr w:type="spellEnd"/>
      <w:r w:rsidR="008A0E61" w:rsidRPr="008A0E61">
        <w:rPr>
          <w:sz w:val="20"/>
          <w:szCs w:val="20"/>
        </w:rPr>
        <w:t xml:space="preserve"> and </w:t>
      </w:r>
      <w:proofErr w:type="spellStart"/>
      <w:r w:rsidR="008A0E61" w:rsidRPr="00164FC5">
        <w:rPr>
          <w:i/>
          <w:iCs/>
          <w:sz w:val="20"/>
          <w:szCs w:val="20"/>
        </w:rPr>
        <w:t>u</w:t>
      </w:r>
      <w:r w:rsidR="008A0E61" w:rsidRPr="00164FC5">
        <w:rPr>
          <w:i/>
          <w:iCs/>
          <w:sz w:val="20"/>
          <w:szCs w:val="20"/>
          <w:vertAlign w:val="subscript"/>
        </w:rPr>
        <w:t>j</w:t>
      </w:r>
      <w:proofErr w:type="spellEnd"/>
      <w:r w:rsidR="008A0E61" w:rsidRPr="008A0E61">
        <w:rPr>
          <w:sz w:val="20"/>
          <w:szCs w:val="20"/>
        </w:rPr>
        <w:t xml:space="preserve"> are estimated, some function of them (e.g.</w:t>
      </w:r>
      <w:r w:rsidR="00403F8E">
        <w:rPr>
          <w:sz w:val="20"/>
          <w:szCs w:val="20"/>
        </w:rPr>
        <w:t>,</w:t>
      </w:r>
      <w:r w:rsidR="008A0E61" w:rsidRPr="008A0E61">
        <w:rPr>
          <w:sz w:val="20"/>
          <w:szCs w:val="20"/>
        </w:rPr>
        <w:t xml:space="preserve"> the log-ratio of </w:t>
      </w:r>
      <w:r w:rsidR="00033303">
        <w:rPr>
          <w:sz w:val="20"/>
          <w:szCs w:val="20"/>
        </w:rPr>
        <w:t xml:space="preserve">the </w:t>
      </w:r>
      <w:r w:rsidR="008A0E61" w:rsidRPr="008A0E61">
        <w:rPr>
          <w:sz w:val="20"/>
          <w:szCs w:val="20"/>
        </w:rPr>
        <w:t>two products</w:t>
      </w:r>
      <w:r w:rsidR="00C766F3">
        <w:rPr>
          <w:sz w:val="20"/>
          <w:szCs w:val="20"/>
        </w:rPr>
        <w:t xml:space="preserve"> in Equation (1)</w:t>
      </w:r>
      <w:r w:rsidR="008A0E61" w:rsidRPr="008A0E61">
        <w:rPr>
          <w:sz w:val="20"/>
          <w:szCs w:val="20"/>
        </w:rPr>
        <w:t xml:space="preserve">) is used to give a score to each agreement/non agreement profile. </w:t>
      </w:r>
      <w:r w:rsidR="00C766F3">
        <w:rPr>
          <w:sz w:val="20"/>
          <w:szCs w:val="20"/>
        </w:rPr>
        <w:t xml:space="preserve"> </w:t>
      </w:r>
      <w:r w:rsidR="008A0E61" w:rsidRPr="008A0E61">
        <w:rPr>
          <w:sz w:val="20"/>
          <w:szCs w:val="20"/>
        </w:rPr>
        <w:t>These scores can be used to classify record pairs as matches or non matches or even ‘undecideds’.</w:t>
      </w:r>
    </w:p>
    <w:p w:rsidR="00164FC5" w:rsidRDefault="00164FC5" w:rsidP="00164FC5">
      <w:pPr>
        <w:jc w:val="both"/>
        <w:rPr>
          <w:sz w:val="20"/>
          <w:szCs w:val="20"/>
        </w:rPr>
      </w:pPr>
    </w:p>
    <w:p w:rsidR="00C766F3" w:rsidRDefault="00F65E2A" w:rsidP="00346F41">
      <w:pPr>
        <w:jc w:val="both"/>
        <w:rPr>
          <w:sz w:val="20"/>
          <w:szCs w:val="20"/>
        </w:rPr>
      </w:pPr>
      <w:r w:rsidRPr="00F65E2A">
        <w:rPr>
          <w:sz w:val="20"/>
          <w:szCs w:val="20"/>
        </w:rPr>
        <w:t xml:space="preserve">This </w:t>
      </w:r>
      <w:r w:rsidR="00164FC5">
        <w:rPr>
          <w:sz w:val="20"/>
          <w:szCs w:val="20"/>
        </w:rPr>
        <w:t>method has some limitations. It a</w:t>
      </w:r>
      <w:r w:rsidR="00164FC5" w:rsidRPr="008A0E61">
        <w:rPr>
          <w:sz w:val="20"/>
          <w:szCs w:val="20"/>
        </w:rPr>
        <w:t>ssumes</w:t>
      </w:r>
      <w:r w:rsidR="00B45AAD">
        <w:rPr>
          <w:sz w:val="20"/>
          <w:szCs w:val="20"/>
        </w:rPr>
        <w:t xml:space="preserve"> that </w:t>
      </w:r>
      <w:r w:rsidR="00057D5E">
        <w:rPr>
          <w:sz w:val="20"/>
          <w:szCs w:val="20"/>
        </w:rPr>
        <w:t xml:space="preserve">for any pair of records, </w:t>
      </w:r>
      <w:r w:rsidR="00B45AAD" w:rsidRPr="008A0E61">
        <w:rPr>
          <w:sz w:val="20"/>
          <w:szCs w:val="20"/>
        </w:rPr>
        <w:t>agreement/non-agreement o</w:t>
      </w:r>
      <w:r w:rsidR="00B45AAD">
        <w:rPr>
          <w:sz w:val="20"/>
          <w:szCs w:val="20"/>
        </w:rPr>
        <w:t xml:space="preserve">n each of the </w:t>
      </w:r>
      <w:r w:rsidR="00B45AAD" w:rsidRPr="00B45AAD">
        <w:rPr>
          <w:i/>
          <w:iCs/>
          <w:sz w:val="20"/>
          <w:szCs w:val="20"/>
        </w:rPr>
        <w:t>p</w:t>
      </w:r>
      <w:r w:rsidR="00B45AAD">
        <w:rPr>
          <w:sz w:val="20"/>
          <w:szCs w:val="20"/>
        </w:rPr>
        <w:t xml:space="preserve"> </w:t>
      </w:r>
      <w:r w:rsidR="00B45AAD" w:rsidRPr="008A0E61">
        <w:rPr>
          <w:sz w:val="20"/>
          <w:szCs w:val="20"/>
        </w:rPr>
        <w:t>identifi</w:t>
      </w:r>
      <w:r w:rsidR="00B45AAD">
        <w:rPr>
          <w:sz w:val="20"/>
          <w:szCs w:val="20"/>
        </w:rPr>
        <w:t>ers</w:t>
      </w:r>
      <w:r w:rsidR="00164FC5" w:rsidRPr="008A0E61">
        <w:rPr>
          <w:sz w:val="20"/>
          <w:szCs w:val="20"/>
        </w:rPr>
        <w:t xml:space="preserve"> </w:t>
      </w:r>
      <w:r w:rsidR="00B45AAD">
        <w:rPr>
          <w:sz w:val="20"/>
          <w:szCs w:val="20"/>
        </w:rPr>
        <w:t xml:space="preserve">is independent. </w:t>
      </w:r>
      <w:r w:rsidR="00C766F3">
        <w:rPr>
          <w:sz w:val="20"/>
          <w:szCs w:val="20"/>
        </w:rPr>
        <w:t xml:space="preserve"> </w:t>
      </w:r>
      <w:r w:rsidR="00B45AAD">
        <w:rPr>
          <w:sz w:val="20"/>
          <w:szCs w:val="20"/>
        </w:rPr>
        <w:t xml:space="preserve">This might not be true, since errors in identifiers </w:t>
      </w:r>
      <w:r w:rsidR="00C766F3">
        <w:rPr>
          <w:sz w:val="20"/>
          <w:szCs w:val="20"/>
        </w:rPr>
        <w:t xml:space="preserve">for a single record </w:t>
      </w:r>
      <w:r w:rsidR="00B45AAD">
        <w:rPr>
          <w:sz w:val="20"/>
          <w:szCs w:val="20"/>
        </w:rPr>
        <w:t xml:space="preserve">resulting in non-agreement for a true match might be correlated.  It also assumes that </w:t>
      </w:r>
      <w:r w:rsidR="00164FC5" w:rsidRPr="008A0E61">
        <w:rPr>
          <w:sz w:val="20"/>
          <w:szCs w:val="20"/>
        </w:rPr>
        <w:t>record pairs are independent</w:t>
      </w:r>
      <w:r w:rsidRPr="00F65E2A">
        <w:rPr>
          <w:sz w:val="20"/>
          <w:szCs w:val="20"/>
        </w:rPr>
        <w:t xml:space="preserve">, which </w:t>
      </w:r>
      <w:r w:rsidR="00C766F3">
        <w:rPr>
          <w:sz w:val="20"/>
          <w:szCs w:val="20"/>
        </w:rPr>
        <w:t>is unlikely to be true</w:t>
      </w:r>
      <w:r w:rsidR="00954B13" w:rsidRPr="00B45AAD">
        <w:rPr>
          <w:sz w:val="20"/>
          <w:szCs w:val="20"/>
        </w:rPr>
        <w:t>, since each record is involved in many pairs.</w:t>
      </w:r>
      <w:r w:rsidR="00164FC5">
        <w:rPr>
          <w:sz w:val="20"/>
          <w:szCs w:val="20"/>
        </w:rPr>
        <w:t xml:space="preserve">  </w:t>
      </w:r>
      <w:r w:rsidR="00346F41">
        <w:rPr>
          <w:sz w:val="20"/>
          <w:szCs w:val="20"/>
        </w:rPr>
        <w:t xml:space="preserve">Furthermore, </w:t>
      </w:r>
      <w:r w:rsidR="00CF43D4">
        <w:rPr>
          <w:sz w:val="20"/>
          <w:szCs w:val="20"/>
        </w:rPr>
        <w:t>i</w:t>
      </w:r>
      <w:r w:rsidR="00346F41">
        <w:rPr>
          <w:sz w:val="20"/>
          <w:szCs w:val="20"/>
        </w:rPr>
        <w:t xml:space="preserve">terative </w:t>
      </w:r>
      <w:r w:rsidRPr="00F65E2A">
        <w:rPr>
          <w:sz w:val="20"/>
          <w:szCs w:val="20"/>
        </w:rPr>
        <w:t>algorithms</w:t>
      </w:r>
      <w:r w:rsidR="00954B13">
        <w:rPr>
          <w:sz w:val="20"/>
          <w:szCs w:val="20"/>
        </w:rPr>
        <w:t>,</w:t>
      </w:r>
      <w:r w:rsidRPr="00F65E2A">
        <w:rPr>
          <w:sz w:val="20"/>
          <w:szCs w:val="20"/>
        </w:rPr>
        <w:t xml:space="preserve"> such as </w:t>
      </w:r>
      <w:r w:rsidR="00164FC5">
        <w:rPr>
          <w:sz w:val="20"/>
          <w:szCs w:val="20"/>
        </w:rPr>
        <w:t xml:space="preserve">the </w:t>
      </w:r>
      <w:r w:rsidR="007978D1">
        <w:rPr>
          <w:sz w:val="20"/>
          <w:szCs w:val="20"/>
        </w:rPr>
        <w:t>EM</w:t>
      </w:r>
      <w:r w:rsidR="00164FC5">
        <w:rPr>
          <w:sz w:val="20"/>
          <w:szCs w:val="20"/>
        </w:rPr>
        <w:t xml:space="preserve"> algorithm</w:t>
      </w:r>
      <w:r w:rsidR="00954B13">
        <w:rPr>
          <w:sz w:val="20"/>
          <w:szCs w:val="20"/>
        </w:rPr>
        <w:t>,</w:t>
      </w:r>
      <w:r w:rsidR="00164FC5">
        <w:rPr>
          <w:sz w:val="20"/>
          <w:szCs w:val="20"/>
        </w:rPr>
        <w:t xml:space="preserve"> </w:t>
      </w:r>
      <w:r w:rsidR="00346F41">
        <w:rPr>
          <w:sz w:val="20"/>
          <w:szCs w:val="20"/>
        </w:rPr>
        <w:t xml:space="preserve">are required </w:t>
      </w:r>
      <w:r w:rsidR="00164FC5">
        <w:rPr>
          <w:sz w:val="20"/>
          <w:szCs w:val="20"/>
        </w:rPr>
        <w:t xml:space="preserve">to estimate the </w:t>
      </w:r>
      <w:proofErr w:type="spellStart"/>
      <w:r w:rsidR="00164FC5" w:rsidRPr="00164FC5">
        <w:rPr>
          <w:i/>
          <w:iCs/>
          <w:sz w:val="20"/>
          <w:szCs w:val="20"/>
        </w:rPr>
        <w:t>m</w:t>
      </w:r>
      <w:r w:rsidR="00164FC5" w:rsidRPr="00164FC5">
        <w:rPr>
          <w:i/>
          <w:iCs/>
          <w:sz w:val="20"/>
          <w:szCs w:val="20"/>
          <w:vertAlign w:val="subscript"/>
        </w:rPr>
        <w:t>j</w:t>
      </w:r>
      <w:proofErr w:type="spellEnd"/>
      <w:r w:rsidR="00164FC5" w:rsidRPr="008A0E61">
        <w:rPr>
          <w:sz w:val="20"/>
          <w:szCs w:val="20"/>
        </w:rPr>
        <w:t xml:space="preserve"> and </w:t>
      </w:r>
      <w:proofErr w:type="spellStart"/>
      <w:r w:rsidR="00164FC5" w:rsidRPr="00164FC5">
        <w:rPr>
          <w:i/>
          <w:iCs/>
          <w:sz w:val="20"/>
          <w:szCs w:val="20"/>
        </w:rPr>
        <w:t>u</w:t>
      </w:r>
      <w:r w:rsidR="00164FC5" w:rsidRPr="00164FC5">
        <w:rPr>
          <w:i/>
          <w:iCs/>
          <w:sz w:val="20"/>
          <w:szCs w:val="20"/>
          <w:vertAlign w:val="subscript"/>
        </w:rPr>
        <w:t>j</w:t>
      </w:r>
      <w:proofErr w:type="spellEnd"/>
      <w:r w:rsidR="00346F41">
        <w:rPr>
          <w:sz w:val="20"/>
          <w:szCs w:val="20"/>
        </w:rPr>
        <w:t xml:space="preserve">.  These </w:t>
      </w:r>
      <w:r w:rsidR="00164FC5">
        <w:rPr>
          <w:sz w:val="20"/>
          <w:szCs w:val="20"/>
        </w:rPr>
        <w:t xml:space="preserve">are </w:t>
      </w:r>
      <w:r w:rsidRPr="00F65E2A">
        <w:rPr>
          <w:sz w:val="20"/>
          <w:szCs w:val="20"/>
        </w:rPr>
        <w:t>computationally and</w:t>
      </w:r>
      <w:r w:rsidR="00164FC5">
        <w:rPr>
          <w:sz w:val="20"/>
          <w:szCs w:val="20"/>
        </w:rPr>
        <w:t xml:space="preserve"> storage-intensive, so struggle</w:t>
      </w:r>
      <w:r w:rsidRPr="00F65E2A">
        <w:rPr>
          <w:sz w:val="20"/>
          <w:szCs w:val="20"/>
        </w:rPr>
        <w:t xml:space="preserve"> with </w:t>
      </w:r>
      <w:r w:rsidR="00954B13">
        <w:rPr>
          <w:sz w:val="20"/>
          <w:szCs w:val="20"/>
        </w:rPr>
        <w:t xml:space="preserve">large </w:t>
      </w:r>
      <w:proofErr w:type="gramStart"/>
      <w:r w:rsidRPr="00F65E2A">
        <w:rPr>
          <w:sz w:val="20"/>
          <w:szCs w:val="20"/>
        </w:rPr>
        <w:t>data</w:t>
      </w:r>
      <w:r w:rsidR="00954B13">
        <w:rPr>
          <w:sz w:val="20"/>
          <w:szCs w:val="20"/>
        </w:rPr>
        <w:t>sets</w:t>
      </w:r>
      <w:r w:rsidR="00346F41">
        <w:rPr>
          <w:sz w:val="20"/>
          <w:szCs w:val="20"/>
        </w:rPr>
        <w:t>,</w:t>
      </w:r>
      <w:proofErr w:type="gramEnd"/>
      <w:r w:rsidR="00346F41">
        <w:rPr>
          <w:sz w:val="20"/>
          <w:szCs w:val="20"/>
        </w:rPr>
        <w:t xml:space="preserve"> and</w:t>
      </w:r>
      <w:r w:rsidR="00164FC5">
        <w:rPr>
          <w:sz w:val="20"/>
          <w:szCs w:val="20"/>
        </w:rPr>
        <w:t xml:space="preserve"> </w:t>
      </w:r>
      <w:r w:rsidRPr="00F65E2A">
        <w:rPr>
          <w:sz w:val="20"/>
          <w:szCs w:val="20"/>
        </w:rPr>
        <w:t>convergence is not guaranteed</w:t>
      </w:r>
      <w:r w:rsidR="00164FC5">
        <w:rPr>
          <w:sz w:val="20"/>
          <w:szCs w:val="20"/>
        </w:rPr>
        <w:t>.</w:t>
      </w:r>
      <w:r w:rsidR="006374B0">
        <w:rPr>
          <w:sz w:val="20"/>
          <w:szCs w:val="20"/>
        </w:rPr>
        <w:t xml:space="preserve">  </w:t>
      </w:r>
    </w:p>
    <w:p w:rsidR="00164FC5" w:rsidRDefault="00164FC5" w:rsidP="008A0E61">
      <w:pPr>
        <w:jc w:val="both"/>
        <w:rPr>
          <w:sz w:val="20"/>
          <w:szCs w:val="20"/>
        </w:rPr>
      </w:pPr>
    </w:p>
    <w:p w:rsidR="008E0F41" w:rsidRDefault="008E0F41" w:rsidP="00233E42">
      <w:pPr>
        <w:jc w:val="both"/>
        <w:rPr>
          <w:b/>
        </w:rPr>
      </w:pPr>
      <w:r>
        <w:rPr>
          <w:b/>
        </w:rPr>
        <w:t>7.</w:t>
      </w:r>
      <w:r w:rsidR="00233E42">
        <w:rPr>
          <w:b/>
        </w:rPr>
        <w:t>2</w:t>
      </w:r>
      <w:r>
        <w:rPr>
          <w:b/>
        </w:rPr>
        <w:t xml:space="preserve"> The solution</w:t>
      </w:r>
    </w:p>
    <w:p w:rsidR="008E0F41" w:rsidRDefault="008E0F41" w:rsidP="00027A43">
      <w:pPr>
        <w:jc w:val="both"/>
      </w:pPr>
    </w:p>
    <w:p w:rsidR="008A0E61" w:rsidRPr="00CF43D4" w:rsidRDefault="00A076CC" w:rsidP="0049654F">
      <w:pPr>
        <w:jc w:val="both"/>
        <w:rPr>
          <w:sz w:val="20"/>
          <w:szCs w:val="20"/>
        </w:rPr>
      </w:pPr>
      <w:r>
        <w:rPr>
          <w:sz w:val="20"/>
          <w:szCs w:val="20"/>
        </w:rPr>
        <w:t xml:space="preserve">The solution </w:t>
      </w:r>
      <w:r w:rsidR="00CF43D4">
        <w:rPr>
          <w:sz w:val="20"/>
          <w:szCs w:val="20"/>
        </w:rPr>
        <w:t xml:space="preserve">presented by Goldstein, </w:t>
      </w:r>
      <w:proofErr w:type="spellStart"/>
      <w:r w:rsidR="00CF43D4" w:rsidRPr="004727E5">
        <w:rPr>
          <w:sz w:val="20"/>
          <w:szCs w:val="20"/>
        </w:rPr>
        <w:t>Harron</w:t>
      </w:r>
      <w:proofErr w:type="spellEnd"/>
      <w:r w:rsidR="00CF43D4">
        <w:rPr>
          <w:sz w:val="20"/>
          <w:szCs w:val="20"/>
        </w:rPr>
        <w:t xml:space="preserve"> and </w:t>
      </w:r>
      <w:r w:rsidR="00CF43D4" w:rsidRPr="004727E5">
        <w:rPr>
          <w:sz w:val="20"/>
          <w:szCs w:val="20"/>
        </w:rPr>
        <w:t>Cortina-</w:t>
      </w:r>
      <w:proofErr w:type="spellStart"/>
      <w:r w:rsidR="00CF43D4" w:rsidRPr="004727E5">
        <w:rPr>
          <w:sz w:val="20"/>
          <w:szCs w:val="20"/>
        </w:rPr>
        <w:t>Borja</w:t>
      </w:r>
      <w:proofErr w:type="spellEnd"/>
      <w:r w:rsidR="00CF43D4">
        <w:rPr>
          <w:sz w:val="20"/>
          <w:szCs w:val="20"/>
        </w:rPr>
        <w:t xml:space="preserve"> (2017) </w:t>
      </w:r>
      <w:r>
        <w:rPr>
          <w:sz w:val="20"/>
          <w:szCs w:val="20"/>
        </w:rPr>
        <w:t>is t</w:t>
      </w:r>
      <w:r w:rsidR="008A0E61" w:rsidRPr="008A0E61">
        <w:rPr>
          <w:sz w:val="20"/>
          <w:szCs w:val="20"/>
        </w:rPr>
        <w:t>o use a less computationally demanding method to calculate the scores</w:t>
      </w:r>
      <w:r w:rsidR="002E74BB">
        <w:rPr>
          <w:sz w:val="20"/>
          <w:szCs w:val="20"/>
        </w:rPr>
        <w:t xml:space="preserve"> (weights)</w:t>
      </w:r>
      <w:r w:rsidR="008A0E61" w:rsidRPr="008A0E61">
        <w:rPr>
          <w:sz w:val="20"/>
          <w:szCs w:val="20"/>
        </w:rPr>
        <w:t xml:space="preserve">, based on agreement categories for each identifier with </w:t>
      </w:r>
      <w:r w:rsidR="008A0E61" w:rsidRPr="00A076CC">
        <w:rPr>
          <w:i/>
          <w:iCs/>
          <w:sz w:val="20"/>
          <w:szCs w:val="20"/>
        </w:rPr>
        <w:t>K</w:t>
      </w:r>
      <w:r w:rsidR="008A0E61" w:rsidRPr="008A0E61">
        <w:rPr>
          <w:sz w:val="20"/>
          <w:szCs w:val="20"/>
        </w:rPr>
        <w:t xml:space="preserve"> agreement categories in total. </w:t>
      </w:r>
      <w:r>
        <w:rPr>
          <w:sz w:val="20"/>
          <w:szCs w:val="20"/>
        </w:rPr>
        <w:t xml:space="preserve"> It is a scaling approach that </w:t>
      </w:r>
      <w:r w:rsidR="008A0E61" w:rsidRPr="00E623DD">
        <w:rPr>
          <w:sz w:val="20"/>
          <w:szCs w:val="20"/>
        </w:rPr>
        <w:t>uses</w:t>
      </w:r>
      <w:r w:rsidRPr="00E623DD">
        <w:rPr>
          <w:sz w:val="20"/>
          <w:szCs w:val="20"/>
        </w:rPr>
        <w:t xml:space="preserve"> ideas from</w:t>
      </w:r>
      <w:r>
        <w:rPr>
          <w:sz w:val="20"/>
          <w:szCs w:val="20"/>
        </w:rPr>
        <w:t xml:space="preserve"> </w:t>
      </w:r>
      <w:r w:rsidR="008A0E61" w:rsidRPr="008A0E61">
        <w:rPr>
          <w:sz w:val="20"/>
          <w:szCs w:val="20"/>
        </w:rPr>
        <w:t>correspondence analysis to assign wei</w:t>
      </w:r>
      <w:r>
        <w:rPr>
          <w:sz w:val="20"/>
          <w:szCs w:val="20"/>
        </w:rPr>
        <w:t xml:space="preserve">ghts to each agreement category, </w:t>
      </w:r>
      <w:r>
        <w:rPr>
          <w:sz w:val="20"/>
          <w:szCs w:val="20"/>
          <w:lang w:val="en-GB"/>
        </w:rPr>
        <w:t>b</w:t>
      </w:r>
      <w:r w:rsidR="001D7250" w:rsidRPr="001D7250">
        <w:rPr>
          <w:sz w:val="20"/>
          <w:szCs w:val="20"/>
          <w:lang w:val="en-GB"/>
        </w:rPr>
        <w:t>ased on a model origina</w:t>
      </w:r>
      <w:r>
        <w:rPr>
          <w:sz w:val="20"/>
          <w:szCs w:val="20"/>
          <w:lang w:val="en-GB"/>
        </w:rPr>
        <w:t>lly discovered by Fisher (1938) and</w:t>
      </w:r>
      <w:r w:rsidR="001D7250" w:rsidRPr="001D7250">
        <w:rPr>
          <w:sz w:val="20"/>
          <w:szCs w:val="20"/>
          <w:lang w:val="en-GB"/>
        </w:rPr>
        <w:t xml:space="preserve"> subsequently rediscovered by many others inclu</w:t>
      </w:r>
      <w:r>
        <w:rPr>
          <w:sz w:val="20"/>
          <w:szCs w:val="20"/>
          <w:lang w:val="en-GB"/>
        </w:rPr>
        <w:t xml:space="preserve">ding Healy and Goldstein (1976). </w:t>
      </w:r>
      <w:r w:rsidR="002E74BB">
        <w:rPr>
          <w:sz w:val="20"/>
          <w:szCs w:val="20"/>
          <w:lang w:val="en-GB"/>
        </w:rPr>
        <w:t xml:space="preserve"> </w:t>
      </w:r>
      <w:r>
        <w:rPr>
          <w:sz w:val="20"/>
          <w:szCs w:val="20"/>
          <w:lang w:val="en-GB"/>
        </w:rPr>
        <w:t>It is c</w:t>
      </w:r>
      <w:r w:rsidR="001D7250" w:rsidRPr="001D7250">
        <w:rPr>
          <w:sz w:val="20"/>
          <w:szCs w:val="20"/>
          <w:lang w:val="en-GB"/>
        </w:rPr>
        <w:t>omputationally efficient, based on counting</w:t>
      </w:r>
      <w:r>
        <w:rPr>
          <w:sz w:val="20"/>
          <w:szCs w:val="20"/>
          <w:lang w:val="en-GB"/>
        </w:rPr>
        <w:t xml:space="preserve"> the numbers of </w:t>
      </w:r>
      <w:r w:rsidR="009F2B95">
        <w:rPr>
          <w:sz w:val="20"/>
          <w:szCs w:val="20"/>
          <w:lang w:val="en-GB"/>
        </w:rPr>
        <w:t xml:space="preserve">pairs of records </w:t>
      </w:r>
      <w:r w:rsidR="0049654F">
        <w:rPr>
          <w:sz w:val="20"/>
          <w:szCs w:val="20"/>
          <w:lang w:val="en-GB"/>
        </w:rPr>
        <w:t>in</w:t>
      </w:r>
      <w:r w:rsidR="009F2B95">
        <w:rPr>
          <w:sz w:val="20"/>
          <w:szCs w:val="20"/>
          <w:lang w:val="en-GB"/>
        </w:rPr>
        <w:t xml:space="preserve"> each identifier agreement category and each pair of identifier agreement categories. </w:t>
      </w:r>
      <w:r w:rsidR="008E7473">
        <w:rPr>
          <w:sz w:val="20"/>
          <w:szCs w:val="20"/>
          <w:lang w:val="en-GB"/>
        </w:rPr>
        <w:t xml:space="preserve"> </w:t>
      </w:r>
      <w:r w:rsidR="009F2B95">
        <w:rPr>
          <w:sz w:val="20"/>
          <w:szCs w:val="20"/>
          <w:lang w:val="en-GB"/>
        </w:rPr>
        <w:t>It is also</w:t>
      </w:r>
      <w:r w:rsidR="002E74BB">
        <w:rPr>
          <w:sz w:val="20"/>
          <w:szCs w:val="20"/>
          <w:lang w:val="en-GB"/>
        </w:rPr>
        <w:t xml:space="preserve"> </w:t>
      </w:r>
      <w:r>
        <w:rPr>
          <w:sz w:val="20"/>
          <w:szCs w:val="20"/>
          <w:lang w:val="en-GB"/>
        </w:rPr>
        <w:t>s</w:t>
      </w:r>
      <w:r w:rsidR="001D7250" w:rsidRPr="001D7250">
        <w:rPr>
          <w:sz w:val="20"/>
          <w:szCs w:val="20"/>
          <w:lang w:val="en-GB"/>
        </w:rPr>
        <w:t xml:space="preserve">torage-efficient, requiring only a </w:t>
      </w:r>
      <w:r w:rsidR="001D7250" w:rsidRPr="001D7250">
        <w:rPr>
          <w:rFonts w:ascii="Cambria Math" w:hAnsi="Cambria Math" w:cs="Cambria Math"/>
          <w:sz w:val="20"/>
          <w:szCs w:val="20"/>
          <w:lang w:val="en-GB"/>
        </w:rPr>
        <w:t>𝐾</w:t>
      </w:r>
      <w:r w:rsidR="001D7250" w:rsidRPr="001D7250">
        <w:rPr>
          <w:sz w:val="20"/>
          <w:szCs w:val="20"/>
          <w:lang w:val="en-GB"/>
        </w:rPr>
        <w:t>×</w:t>
      </w:r>
      <w:r w:rsidR="001D7250" w:rsidRPr="001D7250">
        <w:rPr>
          <w:rFonts w:ascii="Cambria Math" w:hAnsi="Cambria Math" w:cs="Cambria Math"/>
          <w:sz w:val="20"/>
          <w:szCs w:val="20"/>
          <w:lang w:val="en-GB"/>
        </w:rPr>
        <w:t>𝐾</w:t>
      </w:r>
      <w:r w:rsidR="002E74BB">
        <w:rPr>
          <w:sz w:val="20"/>
          <w:szCs w:val="20"/>
          <w:lang w:val="en-GB"/>
        </w:rPr>
        <w:t xml:space="preserve"> matrix.  T</w:t>
      </w:r>
      <w:r>
        <w:rPr>
          <w:sz w:val="20"/>
          <w:szCs w:val="20"/>
          <w:lang w:val="en-GB"/>
        </w:rPr>
        <w:t>he algorithm is not iterative</w:t>
      </w:r>
      <w:r w:rsidR="008A0E61" w:rsidRPr="008A0E61">
        <w:rPr>
          <w:sz w:val="20"/>
          <w:szCs w:val="20"/>
        </w:rPr>
        <w:t>, so convergence is not a problem.</w:t>
      </w:r>
      <w:r>
        <w:rPr>
          <w:sz w:val="20"/>
          <w:szCs w:val="20"/>
        </w:rPr>
        <w:t xml:space="preserve"> </w:t>
      </w:r>
      <w:r w:rsidR="002E74BB">
        <w:rPr>
          <w:sz w:val="20"/>
          <w:szCs w:val="20"/>
        </w:rPr>
        <w:t xml:space="preserve"> </w:t>
      </w:r>
      <w:r w:rsidR="00B3640E" w:rsidRPr="008A0E61">
        <w:rPr>
          <w:sz w:val="20"/>
          <w:szCs w:val="20"/>
        </w:rPr>
        <w:t xml:space="preserve">Independence </w:t>
      </w:r>
      <w:r w:rsidR="00B3640E">
        <w:rPr>
          <w:sz w:val="20"/>
          <w:szCs w:val="20"/>
        </w:rPr>
        <w:t>between</w:t>
      </w:r>
      <w:r w:rsidR="00E25170">
        <w:rPr>
          <w:sz w:val="20"/>
          <w:szCs w:val="20"/>
        </w:rPr>
        <w:t xml:space="preserve"> identifiers </w:t>
      </w:r>
      <w:r w:rsidR="002E74BB">
        <w:rPr>
          <w:sz w:val="20"/>
          <w:szCs w:val="20"/>
        </w:rPr>
        <w:t xml:space="preserve">is </w:t>
      </w:r>
      <w:r w:rsidR="008A0E61" w:rsidRPr="008A0E61">
        <w:rPr>
          <w:sz w:val="20"/>
          <w:szCs w:val="20"/>
        </w:rPr>
        <w:t>mirrored in the basic implementation</w:t>
      </w:r>
      <w:r w:rsidR="002E74BB">
        <w:rPr>
          <w:sz w:val="20"/>
          <w:szCs w:val="20"/>
        </w:rPr>
        <w:t>,</w:t>
      </w:r>
      <w:r w:rsidR="008A0E61" w:rsidRPr="008A0E61">
        <w:rPr>
          <w:sz w:val="20"/>
          <w:szCs w:val="20"/>
        </w:rPr>
        <w:t xml:space="preserve"> since </w:t>
      </w:r>
      <w:r w:rsidR="002E74BB">
        <w:rPr>
          <w:sz w:val="20"/>
          <w:szCs w:val="20"/>
        </w:rPr>
        <w:t xml:space="preserve">the </w:t>
      </w:r>
      <w:r w:rsidR="008A0E61" w:rsidRPr="008A0E61">
        <w:rPr>
          <w:sz w:val="20"/>
          <w:szCs w:val="20"/>
        </w:rPr>
        <w:t>extent of agreement on each identifier is given a separate weight.</w:t>
      </w:r>
      <w:r w:rsidR="005A5A59">
        <w:rPr>
          <w:sz w:val="20"/>
          <w:szCs w:val="20"/>
        </w:rPr>
        <w:t xml:space="preserve"> </w:t>
      </w:r>
      <w:r w:rsidR="008A0E61" w:rsidRPr="008A0E61">
        <w:rPr>
          <w:sz w:val="20"/>
          <w:szCs w:val="20"/>
        </w:rPr>
        <w:t xml:space="preserve"> However, it is not required</w:t>
      </w:r>
      <w:r w:rsidR="002E74BB">
        <w:rPr>
          <w:sz w:val="20"/>
          <w:szCs w:val="20"/>
        </w:rPr>
        <w:t>,</w:t>
      </w:r>
      <w:r w:rsidR="008A0E61" w:rsidRPr="008A0E61">
        <w:rPr>
          <w:sz w:val="20"/>
          <w:szCs w:val="20"/>
        </w:rPr>
        <w:t xml:space="preserve"> since agreement </w:t>
      </w:r>
      <w:r w:rsidR="00FA10F9">
        <w:rPr>
          <w:sz w:val="20"/>
          <w:szCs w:val="20"/>
        </w:rPr>
        <w:t>categories</w:t>
      </w:r>
      <w:r w:rsidR="008A0E61" w:rsidRPr="008A0E61">
        <w:rPr>
          <w:sz w:val="20"/>
          <w:szCs w:val="20"/>
        </w:rPr>
        <w:t xml:space="preserve"> can be based simultaneousl</w:t>
      </w:r>
      <w:r w:rsidR="002E74BB">
        <w:rPr>
          <w:sz w:val="20"/>
          <w:szCs w:val="20"/>
        </w:rPr>
        <w:t>y on two identifiers</w:t>
      </w:r>
      <w:r w:rsidR="008A0E61" w:rsidRPr="008A0E61">
        <w:rPr>
          <w:sz w:val="20"/>
          <w:szCs w:val="20"/>
        </w:rPr>
        <w:t>.</w:t>
      </w:r>
    </w:p>
    <w:p w:rsidR="008A0E61" w:rsidRPr="002E74BB" w:rsidRDefault="008A0E61" w:rsidP="008A0E61">
      <w:pPr>
        <w:jc w:val="center"/>
        <w:rPr>
          <w:b/>
          <w:lang w:val="en-GB"/>
        </w:rPr>
      </w:pPr>
    </w:p>
    <w:p w:rsidR="008A0E61" w:rsidRDefault="008A0E61" w:rsidP="008A0E61">
      <w:pPr>
        <w:jc w:val="center"/>
        <w:rPr>
          <w:b/>
        </w:rPr>
      </w:pPr>
    </w:p>
    <w:p w:rsidR="008A0E61" w:rsidRDefault="008A0E61" w:rsidP="008A0E61">
      <w:pPr>
        <w:jc w:val="center"/>
        <w:rPr>
          <w:b/>
        </w:rPr>
      </w:pPr>
      <w:r>
        <w:rPr>
          <w:b/>
        </w:rPr>
        <w:t>8</w:t>
      </w:r>
      <w:r w:rsidRPr="00354894">
        <w:rPr>
          <w:b/>
        </w:rPr>
        <w:t xml:space="preserve">. </w:t>
      </w:r>
      <w:r>
        <w:rPr>
          <w:b/>
        </w:rPr>
        <w:t xml:space="preserve"> Survey Representativeness</w:t>
      </w:r>
    </w:p>
    <w:p w:rsidR="008A0E61" w:rsidRPr="008A0E61" w:rsidRDefault="008A0E61" w:rsidP="008A0E61">
      <w:pPr>
        <w:jc w:val="both"/>
      </w:pPr>
    </w:p>
    <w:p w:rsidR="00856FD8" w:rsidRDefault="00856FD8" w:rsidP="00F213BF">
      <w:pPr>
        <w:jc w:val="both"/>
        <w:rPr>
          <w:sz w:val="20"/>
          <w:szCs w:val="20"/>
        </w:rPr>
      </w:pPr>
      <w:r>
        <w:rPr>
          <w:sz w:val="20"/>
          <w:szCs w:val="20"/>
        </w:rPr>
        <w:t>Members of ADRC-E’s Southampton</w:t>
      </w:r>
      <w:r w:rsidRPr="008E0F41">
        <w:rPr>
          <w:sz w:val="20"/>
          <w:szCs w:val="20"/>
        </w:rPr>
        <w:t xml:space="preserve"> Group</w:t>
      </w:r>
      <w:r>
        <w:rPr>
          <w:sz w:val="20"/>
          <w:szCs w:val="20"/>
        </w:rPr>
        <w:t xml:space="preserve"> have used</w:t>
      </w:r>
      <w:r w:rsidRPr="00EB1430">
        <w:rPr>
          <w:sz w:val="20"/>
          <w:szCs w:val="20"/>
        </w:rPr>
        <w:t xml:space="preserve"> survey data linked to census data to assess the representativeness of the surveys and how </w:t>
      </w:r>
      <w:r w:rsidR="00F213BF">
        <w:rPr>
          <w:sz w:val="20"/>
          <w:szCs w:val="20"/>
        </w:rPr>
        <w:t>it</w:t>
      </w:r>
      <w:r w:rsidRPr="00EB1430">
        <w:rPr>
          <w:sz w:val="20"/>
          <w:szCs w:val="20"/>
        </w:rPr>
        <w:t xml:space="preserve"> change</w:t>
      </w:r>
      <w:r>
        <w:rPr>
          <w:sz w:val="20"/>
          <w:szCs w:val="20"/>
        </w:rPr>
        <w:t>s</w:t>
      </w:r>
      <w:r w:rsidRPr="00EB1430">
        <w:rPr>
          <w:sz w:val="20"/>
          <w:szCs w:val="20"/>
        </w:rPr>
        <w:t xml:space="preserve"> as the data are collected</w:t>
      </w:r>
      <w:r>
        <w:rPr>
          <w:sz w:val="20"/>
          <w:szCs w:val="20"/>
        </w:rPr>
        <w:t xml:space="preserve"> (Moore, Durrant and Smith, 2017)</w:t>
      </w:r>
      <w:r w:rsidRPr="00EB1430">
        <w:rPr>
          <w:sz w:val="20"/>
          <w:szCs w:val="20"/>
        </w:rPr>
        <w:t>.</w:t>
      </w:r>
    </w:p>
    <w:p w:rsidR="00856FD8" w:rsidRDefault="00856FD8" w:rsidP="008A0E61">
      <w:pPr>
        <w:jc w:val="both"/>
        <w:rPr>
          <w:sz w:val="20"/>
          <w:szCs w:val="20"/>
        </w:rPr>
      </w:pPr>
    </w:p>
    <w:p w:rsidR="008A0E61" w:rsidRPr="008A0E61" w:rsidRDefault="008A0E61" w:rsidP="007071B3">
      <w:pPr>
        <w:jc w:val="both"/>
        <w:rPr>
          <w:sz w:val="20"/>
          <w:szCs w:val="20"/>
        </w:rPr>
      </w:pPr>
      <w:r w:rsidRPr="008A0E61">
        <w:rPr>
          <w:sz w:val="20"/>
          <w:szCs w:val="20"/>
        </w:rPr>
        <w:t xml:space="preserve">When collecting a survey we </w:t>
      </w:r>
      <w:r w:rsidR="007071B3">
        <w:rPr>
          <w:sz w:val="20"/>
          <w:szCs w:val="20"/>
        </w:rPr>
        <w:t>want</w:t>
      </w:r>
      <w:r w:rsidRPr="008A0E61">
        <w:rPr>
          <w:sz w:val="20"/>
          <w:szCs w:val="20"/>
        </w:rPr>
        <w:t xml:space="preserve"> to minimise nonresponse bias.</w:t>
      </w:r>
      <w:r w:rsidR="005A5A59">
        <w:rPr>
          <w:sz w:val="20"/>
          <w:szCs w:val="20"/>
        </w:rPr>
        <w:t xml:space="preserve"> </w:t>
      </w:r>
      <w:r w:rsidRPr="008A0E61">
        <w:rPr>
          <w:sz w:val="20"/>
          <w:szCs w:val="20"/>
        </w:rPr>
        <w:t xml:space="preserve"> One way is to minimise nonresponse, but this is problematic with diminishing returns from repeat</w:t>
      </w:r>
      <w:r w:rsidR="007071B3">
        <w:rPr>
          <w:sz w:val="20"/>
          <w:szCs w:val="20"/>
        </w:rPr>
        <w:t>ed</w:t>
      </w:r>
      <w:r w:rsidRPr="008A0E61">
        <w:rPr>
          <w:sz w:val="20"/>
          <w:szCs w:val="20"/>
        </w:rPr>
        <w:t xml:space="preserve"> attempt</w:t>
      </w:r>
      <w:r w:rsidR="007071B3">
        <w:rPr>
          <w:sz w:val="20"/>
          <w:szCs w:val="20"/>
        </w:rPr>
        <w:t>s</w:t>
      </w:r>
      <w:r w:rsidRPr="008A0E61">
        <w:rPr>
          <w:sz w:val="20"/>
          <w:szCs w:val="20"/>
        </w:rPr>
        <w:t xml:space="preserve"> to secure a response and there is evidence that this has little effect on nonresponse bias.  Therefore, focus has switched to monitoring subgroups of surveys to ensure they are properly represented using indices</w:t>
      </w:r>
      <w:r w:rsidR="007071B3">
        <w:rPr>
          <w:sz w:val="20"/>
          <w:szCs w:val="20"/>
        </w:rPr>
        <w:t>,</w:t>
      </w:r>
      <w:r w:rsidRPr="008A0E61">
        <w:rPr>
          <w:sz w:val="20"/>
          <w:szCs w:val="20"/>
        </w:rPr>
        <w:t xml:space="preserve"> such as the </w:t>
      </w:r>
      <w:r w:rsidR="00673B25">
        <w:rPr>
          <w:sz w:val="20"/>
          <w:szCs w:val="20"/>
        </w:rPr>
        <w:t>coefficient of variation</w:t>
      </w:r>
      <w:r w:rsidRPr="008A0E61">
        <w:rPr>
          <w:sz w:val="20"/>
          <w:szCs w:val="20"/>
        </w:rPr>
        <w:t xml:space="preserve"> of the response propensities and dissimilarity index</w:t>
      </w:r>
      <w:r w:rsidR="007071B3">
        <w:rPr>
          <w:sz w:val="20"/>
          <w:szCs w:val="20"/>
        </w:rPr>
        <w:t xml:space="preserve">. </w:t>
      </w:r>
      <w:r w:rsidR="00F213BF">
        <w:rPr>
          <w:sz w:val="20"/>
          <w:szCs w:val="20"/>
        </w:rPr>
        <w:t xml:space="preserve"> </w:t>
      </w:r>
      <w:r w:rsidR="007071B3">
        <w:rPr>
          <w:sz w:val="20"/>
          <w:szCs w:val="20"/>
        </w:rPr>
        <w:t>These are calculated</w:t>
      </w:r>
      <w:r w:rsidRPr="008A0E61">
        <w:rPr>
          <w:sz w:val="20"/>
          <w:szCs w:val="20"/>
        </w:rPr>
        <w:t xml:space="preserve"> </w:t>
      </w:r>
      <w:r w:rsidR="007071B3">
        <w:rPr>
          <w:sz w:val="20"/>
          <w:szCs w:val="20"/>
        </w:rPr>
        <w:t>as the</w:t>
      </w:r>
      <w:r w:rsidRPr="008A0E61">
        <w:rPr>
          <w:sz w:val="20"/>
          <w:szCs w:val="20"/>
        </w:rPr>
        <w:t xml:space="preserve"> data </w:t>
      </w:r>
      <w:r w:rsidR="007071B3">
        <w:rPr>
          <w:sz w:val="20"/>
          <w:szCs w:val="20"/>
        </w:rPr>
        <w:t>are collected</w:t>
      </w:r>
      <w:r w:rsidRPr="008A0E61">
        <w:rPr>
          <w:sz w:val="20"/>
          <w:szCs w:val="20"/>
        </w:rPr>
        <w:t xml:space="preserve"> to inform adaptations in data collection strategies to maximise quality and/or reduce costs.</w:t>
      </w:r>
    </w:p>
    <w:p w:rsidR="00496278" w:rsidRDefault="00496278" w:rsidP="008A0E61">
      <w:pPr>
        <w:jc w:val="both"/>
        <w:rPr>
          <w:sz w:val="20"/>
          <w:szCs w:val="20"/>
        </w:rPr>
      </w:pPr>
    </w:p>
    <w:p w:rsidR="008A0E61" w:rsidRPr="008A0E61" w:rsidRDefault="007071B3" w:rsidP="0049654F">
      <w:pPr>
        <w:jc w:val="both"/>
        <w:rPr>
          <w:sz w:val="20"/>
          <w:szCs w:val="20"/>
        </w:rPr>
      </w:pPr>
      <w:r>
        <w:rPr>
          <w:sz w:val="20"/>
          <w:szCs w:val="20"/>
        </w:rPr>
        <w:t>Moore, Durrant and Smith (2017) use</w:t>
      </w:r>
      <w:r w:rsidR="008A0E61" w:rsidRPr="008A0E61">
        <w:rPr>
          <w:sz w:val="20"/>
          <w:szCs w:val="20"/>
        </w:rPr>
        <w:t xml:space="preserve"> linked call record data from the three UK social surveys to census household attribute information to assess representativeness over calls. </w:t>
      </w:r>
      <w:r w:rsidR="00F213BF">
        <w:rPr>
          <w:sz w:val="20"/>
          <w:szCs w:val="20"/>
        </w:rPr>
        <w:t xml:space="preserve"> </w:t>
      </w:r>
      <w:r w:rsidR="008A0E61" w:rsidRPr="008A0E61">
        <w:rPr>
          <w:sz w:val="20"/>
          <w:szCs w:val="20"/>
        </w:rPr>
        <w:t>The three surveys are the Labour Force Survey, the Life Opportunities Survey and the Opinions Survey.</w:t>
      </w:r>
      <w:r>
        <w:rPr>
          <w:sz w:val="20"/>
          <w:szCs w:val="20"/>
        </w:rPr>
        <w:t xml:space="preserve"> </w:t>
      </w:r>
      <w:r w:rsidR="00F213BF">
        <w:rPr>
          <w:sz w:val="20"/>
          <w:szCs w:val="20"/>
        </w:rPr>
        <w:t xml:space="preserve"> </w:t>
      </w:r>
      <w:r w:rsidR="008A0E61" w:rsidRPr="008A0E61">
        <w:rPr>
          <w:sz w:val="20"/>
          <w:szCs w:val="20"/>
        </w:rPr>
        <w:t xml:space="preserve">Results suggest that representativeness </w:t>
      </w:r>
      <w:r w:rsidR="00642F43">
        <w:rPr>
          <w:sz w:val="20"/>
          <w:szCs w:val="20"/>
        </w:rPr>
        <w:t>does not increase after</w:t>
      </w:r>
      <w:r w:rsidR="008A0E61" w:rsidRPr="008A0E61">
        <w:rPr>
          <w:sz w:val="20"/>
          <w:szCs w:val="20"/>
        </w:rPr>
        <w:t xml:space="preserve"> 6 to 8 calls. </w:t>
      </w:r>
      <w:r w:rsidR="00642F43">
        <w:rPr>
          <w:sz w:val="20"/>
          <w:szCs w:val="20"/>
        </w:rPr>
        <w:t xml:space="preserve"> </w:t>
      </w:r>
      <w:r w:rsidR="008A0E61" w:rsidRPr="008A0E61">
        <w:rPr>
          <w:sz w:val="20"/>
          <w:szCs w:val="20"/>
        </w:rPr>
        <w:t>Stopping her</w:t>
      </w:r>
      <w:r>
        <w:rPr>
          <w:sz w:val="20"/>
          <w:szCs w:val="20"/>
        </w:rPr>
        <w:t>e</w:t>
      </w:r>
      <w:r w:rsidR="008A0E61" w:rsidRPr="008A0E61">
        <w:rPr>
          <w:sz w:val="20"/>
          <w:szCs w:val="20"/>
        </w:rPr>
        <w:t xml:space="preserve"> would reduce the number of calls made by 7 to 15 percent. </w:t>
      </w:r>
      <w:r w:rsidR="00642F43">
        <w:rPr>
          <w:sz w:val="20"/>
          <w:szCs w:val="20"/>
        </w:rPr>
        <w:t xml:space="preserve"> </w:t>
      </w:r>
      <w:r w:rsidR="008A0E61" w:rsidRPr="008A0E61">
        <w:rPr>
          <w:sz w:val="20"/>
          <w:szCs w:val="20"/>
        </w:rPr>
        <w:t xml:space="preserve">Based on the findings of this work, the ONS has reduced the maximum calls made to a survey subject from 20 to 13 calls and is conducting tests to confirm if further reductions to </w:t>
      </w:r>
      <w:r w:rsidR="0049654F">
        <w:rPr>
          <w:sz w:val="20"/>
          <w:szCs w:val="20"/>
        </w:rPr>
        <w:t xml:space="preserve">between </w:t>
      </w:r>
      <w:r w:rsidR="008A0E61" w:rsidRPr="008A0E61">
        <w:rPr>
          <w:sz w:val="20"/>
          <w:szCs w:val="20"/>
        </w:rPr>
        <w:t xml:space="preserve">6 </w:t>
      </w:r>
      <w:r w:rsidR="0049654F">
        <w:rPr>
          <w:sz w:val="20"/>
          <w:szCs w:val="20"/>
        </w:rPr>
        <w:t>and</w:t>
      </w:r>
      <w:r w:rsidR="008A0E61" w:rsidRPr="008A0E61">
        <w:rPr>
          <w:sz w:val="20"/>
          <w:szCs w:val="20"/>
        </w:rPr>
        <w:t xml:space="preserve"> 8 calls do not result in impacts on survey data quality. </w:t>
      </w:r>
      <w:r w:rsidR="00F213BF">
        <w:rPr>
          <w:sz w:val="20"/>
          <w:szCs w:val="20"/>
        </w:rPr>
        <w:t xml:space="preserve"> </w:t>
      </w:r>
      <w:r w:rsidR="008A0E61" w:rsidRPr="008A0E61">
        <w:rPr>
          <w:sz w:val="20"/>
          <w:szCs w:val="20"/>
        </w:rPr>
        <w:t>This will result in substantial financial savings.</w:t>
      </w:r>
    </w:p>
    <w:p w:rsidR="00503D49" w:rsidRDefault="00503D49" w:rsidP="00027A43">
      <w:pPr>
        <w:jc w:val="both"/>
      </w:pPr>
    </w:p>
    <w:p w:rsidR="008A0E61" w:rsidRDefault="008A0E61" w:rsidP="008A0E61">
      <w:pPr>
        <w:jc w:val="center"/>
        <w:rPr>
          <w:b/>
        </w:rPr>
      </w:pPr>
    </w:p>
    <w:p w:rsidR="008A0E61" w:rsidRDefault="008A0E61" w:rsidP="008A0E61">
      <w:pPr>
        <w:jc w:val="center"/>
        <w:rPr>
          <w:b/>
        </w:rPr>
      </w:pPr>
      <w:r>
        <w:rPr>
          <w:b/>
        </w:rPr>
        <w:t>9</w:t>
      </w:r>
      <w:r w:rsidRPr="00354894">
        <w:rPr>
          <w:b/>
        </w:rPr>
        <w:t xml:space="preserve">. </w:t>
      </w:r>
      <w:r>
        <w:rPr>
          <w:b/>
        </w:rPr>
        <w:t xml:space="preserve"> Contacting us</w:t>
      </w:r>
    </w:p>
    <w:p w:rsidR="008A0E61" w:rsidRDefault="008A0E61" w:rsidP="00027A43">
      <w:pPr>
        <w:jc w:val="both"/>
      </w:pPr>
    </w:p>
    <w:p w:rsidR="007071B3" w:rsidRDefault="002B6EF1" w:rsidP="00074550">
      <w:pPr>
        <w:jc w:val="both"/>
        <w:rPr>
          <w:sz w:val="20"/>
          <w:szCs w:val="20"/>
        </w:rPr>
      </w:pPr>
      <w:r>
        <w:rPr>
          <w:sz w:val="20"/>
          <w:szCs w:val="20"/>
        </w:rPr>
        <w:t>To find out more about these</w:t>
      </w:r>
      <w:r w:rsidR="007071B3">
        <w:rPr>
          <w:sz w:val="20"/>
          <w:szCs w:val="20"/>
        </w:rPr>
        <w:t xml:space="preserve"> projects and all the projects being supported by the ADRN visit </w:t>
      </w:r>
      <w:r w:rsidR="007071B3" w:rsidRPr="007071B3">
        <w:rPr>
          <w:sz w:val="20"/>
          <w:szCs w:val="20"/>
        </w:rPr>
        <w:t>adrn.ac.uk</w:t>
      </w:r>
      <w:r w:rsidR="007071B3">
        <w:rPr>
          <w:sz w:val="20"/>
          <w:szCs w:val="20"/>
        </w:rPr>
        <w:t>. The ADS can be contact</w:t>
      </w:r>
      <w:r>
        <w:rPr>
          <w:sz w:val="20"/>
          <w:szCs w:val="20"/>
        </w:rPr>
        <w:t>ed</w:t>
      </w:r>
      <w:r w:rsidR="007071B3">
        <w:rPr>
          <w:sz w:val="20"/>
          <w:szCs w:val="20"/>
        </w:rPr>
        <w:t xml:space="preserve"> by email (</w:t>
      </w:r>
      <w:r w:rsidR="007071B3" w:rsidRPr="00074550">
        <w:rPr>
          <w:sz w:val="20"/>
          <w:szCs w:val="20"/>
        </w:rPr>
        <w:t>help@adrn.ac.uk</w:t>
      </w:r>
      <w:r w:rsidR="007071B3">
        <w:rPr>
          <w:sz w:val="20"/>
          <w:szCs w:val="20"/>
        </w:rPr>
        <w:t>) and telephone (</w:t>
      </w:r>
      <w:r w:rsidR="00074550">
        <w:rPr>
          <w:sz w:val="20"/>
          <w:szCs w:val="20"/>
        </w:rPr>
        <w:t>01206 87</w:t>
      </w:r>
      <w:r w:rsidR="007071B3" w:rsidRPr="007071B3">
        <w:rPr>
          <w:sz w:val="20"/>
          <w:szCs w:val="20"/>
        </w:rPr>
        <w:t>3435</w:t>
      </w:r>
      <w:r w:rsidR="007071B3">
        <w:rPr>
          <w:sz w:val="20"/>
          <w:szCs w:val="20"/>
        </w:rPr>
        <w:t xml:space="preserve">).  For more detail about </w:t>
      </w:r>
      <w:r w:rsidR="007071B3" w:rsidRPr="007071B3">
        <w:rPr>
          <w:sz w:val="20"/>
          <w:szCs w:val="20"/>
        </w:rPr>
        <w:t>ADRC-E</w:t>
      </w:r>
      <w:r w:rsidR="007071B3">
        <w:rPr>
          <w:sz w:val="20"/>
          <w:szCs w:val="20"/>
        </w:rPr>
        <w:t xml:space="preserve"> visit </w:t>
      </w:r>
      <w:r w:rsidR="00074550" w:rsidRPr="00074550">
        <w:rPr>
          <w:sz w:val="20"/>
          <w:szCs w:val="20"/>
        </w:rPr>
        <w:t>www.adrn.ac.uk/centres/england</w:t>
      </w:r>
      <w:r w:rsidR="007071B3">
        <w:rPr>
          <w:sz w:val="20"/>
          <w:szCs w:val="20"/>
        </w:rPr>
        <w:t xml:space="preserve"> or email </w:t>
      </w:r>
      <w:r w:rsidR="007071B3" w:rsidRPr="00074550">
        <w:rPr>
          <w:sz w:val="20"/>
          <w:szCs w:val="20"/>
        </w:rPr>
        <w:t>adrce@soton.ac.uk</w:t>
      </w:r>
      <w:r w:rsidR="007071B3">
        <w:rPr>
          <w:sz w:val="20"/>
          <w:szCs w:val="20"/>
        </w:rPr>
        <w:t xml:space="preserve">. </w:t>
      </w:r>
      <w:r w:rsidR="00074550">
        <w:rPr>
          <w:sz w:val="20"/>
          <w:szCs w:val="20"/>
        </w:rPr>
        <w:t xml:space="preserve"> </w:t>
      </w:r>
      <w:r w:rsidR="007071B3">
        <w:rPr>
          <w:sz w:val="20"/>
          <w:szCs w:val="20"/>
        </w:rPr>
        <w:t xml:space="preserve">You can also follow us on Twitter </w:t>
      </w:r>
      <w:r w:rsidR="007071B3" w:rsidRPr="007071B3">
        <w:rPr>
          <w:sz w:val="20"/>
          <w:szCs w:val="20"/>
        </w:rPr>
        <w:t>@ADRC_E</w:t>
      </w:r>
      <w:r w:rsidR="007071B3">
        <w:rPr>
          <w:sz w:val="20"/>
          <w:szCs w:val="20"/>
        </w:rPr>
        <w:t>.</w:t>
      </w:r>
    </w:p>
    <w:p w:rsidR="007071B3" w:rsidRPr="007071B3" w:rsidRDefault="007071B3" w:rsidP="00027A43">
      <w:pPr>
        <w:jc w:val="both"/>
        <w:rPr>
          <w:sz w:val="20"/>
          <w:szCs w:val="20"/>
        </w:rPr>
      </w:pPr>
    </w:p>
    <w:p w:rsidR="00853D95" w:rsidRDefault="00853D95">
      <w:pPr>
        <w:rPr>
          <w:b/>
        </w:rPr>
      </w:pPr>
      <w:r>
        <w:rPr>
          <w:b/>
        </w:rPr>
        <w:br w:type="page"/>
      </w:r>
    </w:p>
    <w:p w:rsidR="008A0E61" w:rsidRDefault="008A0E61" w:rsidP="008A0E61">
      <w:pPr>
        <w:jc w:val="center"/>
        <w:rPr>
          <w:b/>
        </w:rPr>
      </w:pPr>
      <w:r>
        <w:rPr>
          <w:b/>
        </w:rPr>
        <w:lastRenderedPageBreak/>
        <w:t>Acknowledgements</w:t>
      </w:r>
    </w:p>
    <w:p w:rsidR="008A0E61" w:rsidRDefault="008A0E61" w:rsidP="008A0E61">
      <w:pPr>
        <w:jc w:val="center"/>
      </w:pPr>
    </w:p>
    <w:p w:rsidR="00853D95" w:rsidRPr="00853D95" w:rsidRDefault="009B4A97" w:rsidP="00027A43">
      <w:pPr>
        <w:jc w:val="both"/>
        <w:rPr>
          <w:sz w:val="20"/>
          <w:szCs w:val="20"/>
          <w:lang w:val="en-GB"/>
        </w:rPr>
      </w:pPr>
      <w:r>
        <w:rPr>
          <w:sz w:val="20"/>
          <w:szCs w:val="20"/>
          <w:lang w:val="en-GB"/>
        </w:rPr>
        <w:t>The</w:t>
      </w:r>
      <w:r w:rsidR="00853D95" w:rsidRPr="00853D95">
        <w:rPr>
          <w:sz w:val="20"/>
          <w:szCs w:val="20"/>
          <w:lang w:val="en-GB"/>
        </w:rPr>
        <w:t xml:space="preserve"> research </w:t>
      </w:r>
      <w:r w:rsidR="00853D95">
        <w:rPr>
          <w:sz w:val="20"/>
          <w:szCs w:val="20"/>
          <w:lang w:val="en-GB"/>
        </w:rPr>
        <w:t>highlighted in this paper wa</w:t>
      </w:r>
      <w:r w:rsidR="00853D95" w:rsidRPr="00853D95">
        <w:rPr>
          <w:sz w:val="20"/>
          <w:szCs w:val="20"/>
          <w:lang w:val="en-GB"/>
        </w:rPr>
        <w:t xml:space="preserve">s funded by the Economic and Social Research </w:t>
      </w:r>
      <w:proofErr w:type="gramStart"/>
      <w:r w:rsidR="00853D95" w:rsidRPr="00853D95">
        <w:rPr>
          <w:sz w:val="20"/>
          <w:szCs w:val="20"/>
          <w:lang w:val="en-GB"/>
        </w:rPr>
        <w:t>Council,</w:t>
      </w:r>
      <w:proofErr w:type="gramEnd"/>
      <w:r w:rsidR="00853D95" w:rsidRPr="00853D95">
        <w:rPr>
          <w:sz w:val="20"/>
          <w:szCs w:val="20"/>
          <w:lang w:val="en-GB"/>
        </w:rPr>
        <w:t xml:space="preserve"> grant reference number ES/L007517/1, establishing the Administrative Data Research Centre for England (ADRC-E). </w:t>
      </w:r>
      <w:r w:rsidR="008E7473">
        <w:rPr>
          <w:sz w:val="20"/>
          <w:szCs w:val="20"/>
          <w:lang w:val="en-GB"/>
        </w:rPr>
        <w:t xml:space="preserve"> </w:t>
      </w:r>
      <w:r w:rsidR="00853D95" w:rsidRPr="00853D95">
        <w:rPr>
          <w:sz w:val="20"/>
          <w:szCs w:val="20"/>
          <w:lang w:val="en-GB"/>
        </w:rPr>
        <w:t>The ADRC-E is led by the University of Southampton and run in collaboration with University College London, the London School of Hygiene and Tropical Medicine, the Institute for Fiscal Studies and the Office for National Statistics (ONS).</w:t>
      </w:r>
      <w:r w:rsidR="005A5A59">
        <w:rPr>
          <w:sz w:val="20"/>
          <w:szCs w:val="20"/>
          <w:lang w:val="en-GB"/>
        </w:rPr>
        <w:t xml:space="preserve"> </w:t>
      </w:r>
      <w:r w:rsidR="00853D95" w:rsidRPr="00853D95">
        <w:rPr>
          <w:sz w:val="20"/>
          <w:szCs w:val="20"/>
          <w:lang w:val="en-GB"/>
        </w:rPr>
        <w:t xml:space="preserve"> The findings, interpretations and conclusions expressed in this paper are entire</w:t>
      </w:r>
      <w:r w:rsidR="00853D95">
        <w:rPr>
          <w:sz w:val="20"/>
          <w:szCs w:val="20"/>
          <w:lang w:val="en-GB"/>
        </w:rPr>
        <w:t>ly those of the author</w:t>
      </w:r>
      <w:r w:rsidR="00853D95" w:rsidRPr="00853D95">
        <w:rPr>
          <w:sz w:val="20"/>
          <w:szCs w:val="20"/>
          <w:lang w:val="en-GB"/>
        </w:rPr>
        <w:t>.</w:t>
      </w:r>
    </w:p>
    <w:p w:rsidR="007071B3" w:rsidRDefault="007071B3" w:rsidP="00027A43">
      <w:pPr>
        <w:jc w:val="both"/>
      </w:pPr>
    </w:p>
    <w:p w:rsidR="00F773EB" w:rsidRPr="00354894" w:rsidRDefault="00F773EB" w:rsidP="00027A43">
      <w:pPr>
        <w:jc w:val="both"/>
      </w:pPr>
    </w:p>
    <w:p w:rsidR="00027A43" w:rsidRPr="00354894" w:rsidRDefault="00027A43" w:rsidP="00027A43">
      <w:pPr>
        <w:jc w:val="center"/>
      </w:pPr>
      <w:r w:rsidRPr="00354894">
        <w:rPr>
          <w:b/>
        </w:rPr>
        <w:t>References</w:t>
      </w:r>
    </w:p>
    <w:p w:rsidR="00027A43" w:rsidRDefault="00027A43" w:rsidP="00027A43">
      <w:pPr>
        <w:jc w:val="both"/>
      </w:pPr>
    </w:p>
    <w:p w:rsidR="009A7A2F" w:rsidRPr="009A7A2F" w:rsidRDefault="009A7A2F" w:rsidP="00E31A10">
      <w:pPr>
        <w:rPr>
          <w:color w:val="000000" w:themeColor="text1"/>
          <w:sz w:val="20"/>
          <w:szCs w:val="20"/>
        </w:rPr>
      </w:pPr>
      <w:proofErr w:type="gramStart"/>
      <w:r>
        <w:rPr>
          <w:sz w:val="20"/>
          <w:szCs w:val="20"/>
        </w:rPr>
        <w:t>Administrative Data Taskf</w:t>
      </w:r>
      <w:r w:rsidRPr="00106B1E">
        <w:rPr>
          <w:sz w:val="20"/>
          <w:szCs w:val="20"/>
        </w:rPr>
        <w:t>orce (</w:t>
      </w:r>
      <w:r>
        <w:rPr>
          <w:sz w:val="20"/>
          <w:szCs w:val="20"/>
        </w:rPr>
        <w:t>2012</w:t>
      </w:r>
      <w:r w:rsidRPr="00106B1E">
        <w:rPr>
          <w:sz w:val="20"/>
          <w:szCs w:val="20"/>
        </w:rPr>
        <w:t>).</w:t>
      </w:r>
      <w:proofErr w:type="gramEnd"/>
      <w:r>
        <w:rPr>
          <w:color w:val="000000" w:themeColor="text1"/>
          <w:sz w:val="20"/>
          <w:szCs w:val="20"/>
        </w:rPr>
        <w:t xml:space="preserve"> </w:t>
      </w:r>
      <w:r w:rsidR="00E27367">
        <w:rPr>
          <w:color w:val="000000" w:themeColor="text1"/>
          <w:sz w:val="20"/>
          <w:szCs w:val="20"/>
        </w:rPr>
        <w:t xml:space="preserve"> </w:t>
      </w:r>
      <w:r w:rsidRPr="009A7A2F">
        <w:rPr>
          <w:color w:val="000000" w:themeColor="text1"/>
          <w:sz w:val="20"/>
          <w:szCs w:val="20"/>
        </w:rPr>
        <w:t>The UK Administrative Data Research Network:</w:t>
      </w:r>
      <w:r>
        <w:rPr>
          <w:color w:val="000000" w:themeColor="text1"/>
          <w:sz w:val="20"/>
          <w:szCs w:val="20"/>
        </w:rPr>
        <w:t xml:space="preserve"> </w:t>
      </w:r>
      <w:r w:rsidRPr="009A7A2F">
        <w:rPr>
          <w:color w:val="000000" w:themeColor="text1"/>
          <w:sz w:val="20"/>
          <w:szCs w:val="20"/>
        </w:rPr>
        <w:t>Improving Access for Research and Policy</w:t>
      </w:r>
      <w:r>
        <w:rPr>
          <w:color w:val="000000" w:themeColor="text1"/>
          <w:sz w:val="20"/>
          <w:szCs w:val="20"/>
        </w:rPr>
        <w:t xml:space="preserve">. </w:t>
      </w:r>
      <w:r w:rsidR="00E27367">
        <w:rPr>
          <w:color w:val="000000" w:themeColor="text1"/>
          <w:sz w:val="20"/>
          <w:szCs w:val="20"/>
        </w:rPr>
        <w:t xml:space="preserve"> </w:t>
      </w:r>
      <w:r w:rsidRPr="009A7A2F">
        <w:rPr>
          <w:color w:val="000000" w:themeColor="text1"/>
          <w:sz w:val="20"/>
          <w:szCs w:val="20"/>
        </w:rPr>
        <w:t>Available online: [</w:t>
      </w:r>
      <w:r w:rsidR="00E31A10">
        <w:rPr>
          <w:color w:val="000000" w:themeColor="text1"/>
          <w:sz w:val="20"/>
          <w:szCs w:val="20"/>
        </w:rPr>
        <w:t>30</w:t>
      </w:r>
      <w:r w:rsidRPr="009A7A2F">
        <w:rPr>
          <w:color w:val="000000" w:themeColor="text1"/>
          <w:sz w:val="20"/>
          <w:szCs w:val="20"/>
        </w:rPr>
        <w:t>/0</w:t>
      </w:r>
      <w:r w:rsidR="00AA51C0">
        <w:rPr>
          <w:color w:val="000000" w:themeColor="text1"/>
          <w:sz w:val="20"/>
          <w:szCs w:val="20"/>
        </w:rPr>
        <w:t>8</w:t>
      </w:r>
      <w:r w:rsidRPr="009A7A2F">
        <w:rPr>
          <w:color w:val="000000" w:themeColor="text1"/>
          <w:sz w:val="20"/>
          <w:szCs w:val="20"/>
        </w:rPr>
        <w:t>/2017] https://www.statisticsauthority.gov.uk/wp-content/uploads/2015/12/images-administrativedatataskforcereportdecember201_tcm97-43887.pdf</w:t>
      </w:r>
      <w:r>
        <w:rPr>
          <w:color w:val="000000" w:themeColor="text1"/>
          <w:sz w:val="20"/>
          <w:szCs w:val="20"/>
        </w:rPr>
        <w:t>.</w:t>
      </w:r>
    </w:p>
    <w:p w:rsidR="00E27367" w:rsidRDefault="00E27367" w:rsidP="00E27367">
      <w:pPr>
        <w:rPr>
          <w:sz w:val="20"/>
          <w:szCs w:val="20"/>
        </w:rPr>
      </w:pPr>
    </w:p>
    <w:p w:rsidR="00E27367" w:rsidRPr="00E27367" w:rsidRDefault="00E27367" w:rsidP="00E27367">
      <w:pPr>
        <w:jc w:val="both"/>
        <w:rPr>
          <w:sz w:val="20"/>
          <w:szCs w:val="20"/>
        </w:rPr>
      </w:pPr>
      <w:proofErr w:type="gramStart"/>
      <w:r w:rsidRPr="00E27367">
        <w:rPr>
          <w:sz w:val="20"/>
          <w:szCs w:val="20"/>
        </w:rPr>
        <w:t>Fellegi</w:t>
      </w:r>
      <w:r>
        <w:rPr>
          <w:sz w:val="20"/>
          <w:szCs w:val="20"/>
        </w:rPr>
        <w:t>,</w:t>
      </w:r>
      <w:r w:rsidRPr="00E27367">
        <w:rPr>
          <w:sz w:val="20"/>
          <w:szCs w:val="20"/>
        </w:rPr>
        <w:t xml:space="preserve"> I</w:t>
      </w:r>
      <w:r>
        <w:rPr>
          <w:sz w:val="20"/>
          <w:szCs w:val="20"/>
        </w:rPr>
        <w:t>.</w:t>
      </w:r>
      <w:r w:rsidRPr="00E27367">
        <w:rPr>
          <w:sz w:val="20"/>
          <w:szCs w:val="20"/>
        </w:rPr>
        <w:t xml:space="preserve"> </w:t>
      </w:r>
      <w:r>
        <w:rPr>
          <w:sz w:val="20"/>
          <w:szCs w:val="20"/>
        </w:rPr>
        <w:t xml:space="preserve">and </w:t>
      </w:r>
      <w:proofErr w:type="spellStart"/>
      <w:r w:rsidRPr="00E27367">
        <w:rPr>
          <w:sz w:val="20"/>
          <w:szCs w:val="20"/>
        </w:rPr>
        <w:t>Sunter</w:t>
      </w:r>
      <w:proofErr w:type="spellEnd"/>
      <w:r>
        <w:rPr>
          <w:sz w:val="20"/>
          <w:szCs w:val="20"/>
        </w:rPr>
        <w:t>,</w:t>
      </w:r>
      <w:r w:rsidRPr="00E27367">
        <w:rPr>
          <w:sz w:val="20"/>
          <w:szCs w:val="20"/>
        </w:rPr>
        <w:t xml:space="preserve"> A. </w:t>
      </w:r>
      <w:r>
        <w:rPr>
          <w:sz w:val="20"/>
          <w:szCs w:val="20"/>
        </w:rPr>
        <w:t>(1969).</w:t>
      </w:r>
      <w:proofErr w:type="gramEnd"/>
      <w:r>
        <w:rPr>
          <w:sz w:val="20"/>
          <w:szCs w:val="20"/>
        </w:rPr>
        <w:t xml:space="preserve">  </w:t>
      </w:r>
      <w:proofErr w:type="gramStart"/>
      <w:r w:rsidRPr="00E27367">
        <w:rPr>
          <w:sz w:val="20"/>
          <w:szCs w:val="20"/>
        </w:rPr>
        <w:t>A theory for record linkage.</w:t>
      </w:r>
      <w:proofErr w:type="gramEnd"/>
      <w:r w:rsidRPr="00E27367">
        <w:rPr>
          <w:sz w:val="20"/>
          <w:szCs w:val="20"/>
        </w:rPr>
        <w:t xml:space="preserve"> </w:t>
      </w:r>
      <w:r w:rsidR="004727E5">
        <w:rPr>
          <w:sz w:val="20"/>
          <w:szCs w:val="20"/>
        </w:rPr>
        <w:t xml:space="preserve"> </w:t>
      </w:r>
      <w:r w:rsidRPr="00E27367">
        <w:rPr>
          <w:sz w:val="20"/>
          <w:szCs w:val="20"/>
        </w:rPr>
        <w:t>Journal of the American Statistica</w:t>
      </w:r>
      <w:r>
        <w:rPr>
          <w:sz w:val="20"/>
          <w:szCs w:val="20"/>
        </w:rPr>
        <w:t xml:space="preserve">l Association, 64, </w:t>
      </w:r>
      <w:r w:rsidRPr="00E27367">
        <w:rPr>
          <w:sz w:val="20"/>
          <w:szCs w:val="20"/>
        </w:rPr>
        <w:t>1183–1210.</w:t>
      </w:r>
    </w:p>
    <w:p w:rsidR="00E27367" w:rsidRDefault="00E27367" w:rsidP="00E27367">
      <w:pPr>
        <w:rPr>
          <w:sz w:val="20"/>
          <w:szCs w:val="20"/>
        </w:rPr>
      </w:pPr>
    </w:p>
    <w:p w:rsidR="00E27367" w:rsidRPr="00E27367" w:rsidRDefault="00E27367" w:rsidP="00E27367">
      <w:pPr>
        <w:jc w:val="both"/>
        <w:rPr>
          <w:sz w:val="20"/>
          <w:szCs w:val="20"/>
        </w:rPr>
      </w:pPr>
      <w:r>
        <w:rPr>
          <w:sz w:val="20"/>
          <w:szCs w:val="20"/>
        </w:rPr>
        <w:t>Fisher, R.</w:t>
      </w:r>
      <w:r w:rsidRPr="00E27367">
        <w:rPr>
          <w:sz w:val="20"/>
          <w:szCs w:val="20"/>
        </w:rPr>
        <w:t>A. (1938).</w:t>
      </w:r>
      <w:r>
        <w:rPr>
          <w:sz w:val="20"/>
          <w:szCs w:val="20"/>
        </w:rPr>
        <w:t xml:space="preserve"> </w:t>
      </w:r>
      <w:r w:rsidRPr="00E27367">
        <w:rPr>
          <w:sz w:val="20"/>
          <w:szCs w:val="20"/>
        </w:rPr>
        <w:t xml:space="preserve"> </w:t>
      </w:r>
      <w:proofErr w:type="gramStart"/>
      <w:r w:rsidRPr="00E27367">
        <w:rPr>
          <w:sz w:val="20"/>
          <w:szCs w:val="20"/>
        </w:rPr>
        <w:t>Statistical Methods for Research Workers, 7th</w:t>
      </w:r>
      <w:r>
        <w:rPr>
          <w:sz w:val="20"/>
          <w:szCs w:val="20"/>
        </w:rPr>
        <w:t xml:space="preserve"> edition.</w:t>
      </w:r>
      <w:proofErr w:type="gramEnd"/>
      <w:r>
        <w:rPr>
          <w:sz w:val="20"/>
          <w:szCs w:val="20"/>
        </w:rPr>
        <w:t xml:space="preserve">  </w:t>
      </w:r>
      <w:proofErr w:type="gramStart"/>
      <w:r>
        <w:rPr>
          <w:sz w:val="20"/>
          <w:szCs w:val="20"/>
        </w:rPr>
        <w:t>Edinburgh,</w:t>
      </w:r>
      <w:r w:rsidRPr="00E27367">
        <w:rPr>
          <w:sz w:val="20"/>
          <w:szCs w:val="20"/>
        </w:rPr>
        <w:t xml:space="preserve"> Oliver &amp; Boyd</w:t>
      </w:r>
      <w:r>
        <w:rPr>
          <w:sz w:val="20"/>
          <w:szCs w:val="20"/>
        </w:rPr>
        <w:t>.</w:t>
      </w:r>
      <w:proofErr w:type="gramEnd"/>
    </w:p>
    <w:p w:rsidR="00E27367" w:rsidRDefault="00E27367" w:rsidP="00E27367">
      <w:pPr>
        <w:rPr>
          <w:sz w:val="20"/>
          <w:szCs w:val="20"/>
        </w:rPr>
      </w:pPr>
    </w:p>
    <w:p w:rsidR="004727E5" w:rsidRDefault="004727E5" w:rsidP="009B4A97">
      <w:pPr>
        <w:rPr>
          <w:sz w:val="20"/>
          <w:szCs w:val="20"/>
        </w:rPr>
      </w:pPr>
      <w:proofErr w:type="gramStart"/>
      <w:r w:rsidRPr="004727E5">
        <w:rPr>
          <w:sz w:val="20"/>
          <w:szCs w:val="20"/>
        </w:rPr>
        <w:t>Gilbert, R</w:t>
      </w:r>
      <w:r>
        <w:rPr>
          <w:sz w:val="20"/>
          <w:szCs w:val="20"/>
        </w:rPr>
        <w:t>.</w:t>
      </w:r>
      <w:r w:rsidRPr="004727E5">
        <w:rPr>
          <w:sz w:val="20"/>
          <w:szCs w:val="20"/>
        </w:rPr>
        <w:t>, Lafferty, R</w:t>
      </w:r>
      <w:r>
        <w:rPr>
          <w:sz w:val="20"/>
          <w:szCs w:val="20"/>
        </w:rPr>
        <w:t>.</w:t>
      </w:r>
      <w:r w:rsidRPr="004727E5">
        <w:rPr>
          <w:sz w:val="20"/>
          <w:szCs w:val="20"/>
        </w:rPr>
        <w:t>, Hagger-Johnson, G</w:t>
      </w:r>
      <w:r>
        <w:rPr>
          <w:sz w:val="20"/>
          <w:szCs w:val="20"/>
        </w:rPr>
        <w:t>.</w:t>
      </w:r>
      <w:r w:rsidRPr="004727E5">
        <w:rPr>
          <w:sz w:val="20"/>
          <w:szCs w:val="20"/>
        </w:rPr>
        <w:t xml:space="preserve">, </w:t>
      </w:r>
      <w:proofErr w:type="spellStart"/>
      <w:r w:rsidRPr="004727E5">
        <w:rPr>
          <w:sz w:val="20"/>
          <w:szCs w:val="20"/>
        </w:rPr>
        <w:t>Harron</w:t>
      </w:r>
      <w:proofErr w:type="spellEnd"/>
      <w:r w:rsidRPr="004727E5">
        <w:rPr>
          <w:sz w:val="20"/>
          <w:szCs w:val="20"/>
        </w:rPr>
        <w:t>, K</w:t>
      </w:r>
      <w:r>
        <w:rPr>
          <w:sz w:val="20"/>
          <w:szCs w:val="20"/>
        </w:rPr>
        <w:t>.</w:t>
      </w:r>
      <w:r w:rsidRPr="004727E5">
        <w:rPr>
          <w:sz w:val="20"/>
          <w:szCs w:val="20"/>
        </w:rPr>
        <w:t>, Zhang, L-C</w:t>
      </w:r>
      <w:r>
        <w:rPr>
          <w:sz w:val="20"/>
          <w:szCs w:val="20"/>
        </w:rPr>
        <w:t>.</w:t>
      </w:r>
      <w:r w:rsidRPr="004727E5">
        <w:rPr>
          <w:sz w:val="20"/>
          <w:szCs w:val="20"/>
        </w:rPr>
        <w:t>, Smith, P</w:t>
      </w:r>
      <w:r>
        <w:rPr>
          <w:sz w:val="20"/>
          <w:szCs w:val="20"/>
        </w:rPr>
        <w:t>.</w:t>
      </w:r>
      <w:r w:rsidRPr="004727E5">
        <w:rPr>
          <w:sz w:val="20"/>
          <w:szCs w:val="20"/>
        </w:rPr>
        <w:t>, Dibben, C</w:t>
      </w:r>
      <w:r>
        <w:rPr>
          <w:sz w:val="20"/>
          <w:szCs w:val="20"/>
        </w:rPr>
        <w:t>. and Goldstein,</w:t>
      </w:r>
      <w:r w:rsidRPr="004727E5">
        <w:rPr>
          <w:sz w:val="20"/>
          <w:szCs w:val="20"/>
        </w:rPr>
        <w:t xml:space="preserve"> H</w:t>
      </w:r>
      <w:r>
        <w:rPr>
          <w:sz w:val="20"/>
          <w:szCs w:val="20"/>
        </w:rPr>
        <w:t>.</w:t>
      </w:r>
      <w:r w:rsidRPr="004727E5">
        <w:rPr>
          <w:sz w:val="20"/>
          <w:szCs w:val="20"/>
        </w:rPr>
        <w:t xml:space="preserve"> </w:t>
      </w:r>
      <w:r>
        <w:rPr>
          <w:sz w:val="20"/>
          <w:szCs w:val="20"/>
        </w:rPr>
        <w:t>(2017).</w:t>
      </w:r>
      <w:proofErr w:type="gramEnd"/>
      <w:r>
        <w:rPr>
          <w:sz w:val="20"/>
          <w:szCs w:val="20"/>
        </w:rPr>
        <w:t xml:space="preserve">  </w:t>
      </w:r>
      <w:r w:rsidR="00BF3D28">
        <w:rPr>
          <w:sz w:val="20"/>
          <w:szCs w:val="20"/>
        </w:rPr>
        <w:t>GUILD: Guidance for i</w:t>
      </w:r>
      <w:r w:rsidRPr="004727E5">
        <w:rPr>
          <w:sz w:val="20"/>
          <w:szCs w:val="20"/>
        </w:rPr>
        <w:t>nfo</w:t>
      </w:r>
      <w:r w:rsidR="00BF3D28">
        <w:rPr>
          <w:sz w:val="20"/>
          <w:szCs w:val="20"/>
        </w:rPr>
        <w:t>rmation about linking d</w:t>
      </w:r>
      <w:r>
        <w:rPr>
          <w:sz w:val="20"/>
          <w:szCs w:val="20"/>
        </w:rPr>
        <w:t>ata sets.</w:t>
      </w:r>
      <w:r w:rsidRPr="004727E5">
        <w:rPr>
          <w:sz w:val="20"/>
          <w:szCs w:val="20"/>
        </w:rPr>
        <w:t xml:space="preserve"> </w:t>
      </w:r>
      <w:r>
        <w:rPr>
          <w:sz w:val="20"/>
          <w:szCs w:val="20"/>
        </w:rPr>
        <w:t xml:space="preserve"> Journal of Public Health, </w:t>
      </w:r>
      <w:r w:rsidRPr="004727E5">
        <w:rPr>
          <w:sz w:val="20"/>
          <w:szCs w:val="20"/>
        </w:rPr>
        <w:t>1</w:t>
      </w:r>
      <w:r w:rsidR="008341CA" w:rsidRPr="00E27367">
        <w:rPr>
          <w:sz w:val="20"/>
          <w:szCs w:val="20"/>
        </w:rPr>
        <w:t>–</w:t>
      </w:r>
      <w:r w:rsidRPr="004727E5">
        <w:rPr>
          <w:sz w:val="20"/>
          <w:szCs w:val="20"/>
        </w:rPr>
        <w:t>8. DOI: 10.1093/</w:t>
      </w:r>
      <w:proofErr w:type="spellStart"/>
      <w:r w:rsidRPr="004727E5">
        <w:rPr>
          <w:sz w:val="20"/>
          <w:szCs w:val="20"/>
        </w:rPr>
        <w:t>pubmed</w:t>
      </w:r>
      <w:proofErr w:type="spellEnd"/>
      <w:r w:rsidRPr="004727E5">
        <w:rPr>
          <w:sz w:val="20"/>
          <w:szCs w:val="20"/>
        </w:rPr>
        <w:t>/fdx037</w:t>
      </w:r>
      <w:r>
        <w:rPr>
          <w:sz w:val="20"/>
          <w:szCs w:val="20"/>
        </w:rPr>
        <w:t>.</w:t>
      </w:r>
    </w:p>
    <w:p w:rsidR="004727E5" w:rsidRDefault="004727E5" w:rsidP="00E27367">
      <w:pPr>
        <w:rPr>
          <w:sz w:val="20"/>
          <w:szCs w:val="20"/>
        </w:rPr>
      </w:pPr>
    </w:p>
    <w:p w:rsidR="004727E5" w:rsidRDefault="004727E5" w:rsidP="008341CA">
      <w:pPr>
        <w:rPr>
          <w:sz w:val="20"/>
          <w:szCs w:val="20"/>
        </w:rPr>
      </w:pPr>
      <w:proofErr w:type="gramStart"/>
      <w:r w:rsidRPr="004727E5">
        <w:rPr>
          <w:sz w:val="20"/>
          <w:szCs w:val="20"/>
        </w:rPr>
        <w:t xml:space="preserve">Goldstein, </w:t>
      </w:r>
      <w:r>
        <w:rPr>
          <w:sz w:val="20"/>
          <w:szCs w:val="20"/>
        </w:rPr>
        <w:t xml:space="preserve">H., </w:t>
      </w:r>
      <w:proofErr w:type="spellStart"/>
      <w:r w:rsidRPr="004727E5">
        <w:rPr>
          <w:sz w:val="20"/>
          <w:szCs w:val="20"/>
        </w:rPr>
        <w:t>Harron</w:t>
      </w:r>
      <w:proofErr w:type="spellEnd"/>
      <w:r>
        <w:rPr>
          <w:sz w:val="20"/>
          <w:szCs w:val="20"/>
        </w:rPr>
        <w:t xml:space="preserve">, K. and </w:t>
      </w:r>
      <w:r w:rsidRPr="004727E5">
        <w:rPr>
          <w:sz w:val="20"/>
          <w:szCs w:val="20"/>
        </w:rPr>
        <w:t>Cortina-Borja</w:t>
      </w:r>
      <w:r w:rsidR="009B4A97">
        <w:rPr>
          <w:sz w:val="20"/>
          <w:szCs w:val="20"/>
        </w:rPr>
        <w:t>, M. (201</w:t>
      </w:r>
      <w:r>
        <w:rPr>
          <w:sz w:val="20"/>
          <w:szCs w:val="20"/>
        </w:rPr>
        <w:t>7).</w:t>
      </w:r>
      <w:proofErr w:type="gramEnd"/>
      <w:r>
        <w:rPr>
          <w:sz w:val="20"/>
          <w:szCs w:val="20"/>
        </w:rPr>
        <w:t xml:space="preserve">  </w:t>
      </w:r>
      <w:proofErr w:type="gramStart"/>
      <w:r w:rsidRPr="004727E5">
        <w:rPr>
          <w:sz w:val="20"/>
          <w:szCs w:val="20"/>
        </w:rPr>
        <w:t>A scaling approach to record linkage</w:t>
      </w:r>
      <w:r>
        <w:rPr>
          <w:sz w:val="20"/>
          <w:szCs w:val="20"/>
        </w:rPr>
        <w:t>.</w:t>
      </w:r>
      <w:proofErr w:type="gramEnd"/>
      <w:r>
        <w:rPr>
          <w:sz w:val="20"/>
          <w:szCs w:val="20"/>
        </w:rPr>
        <w:t xml:space="preserve">  Statistics in Medicine, </w:t>
      </w:r>
      <w:r w:rsidR="008341CA">
        <w:rPr>
          <w:sz w:val="20"/>
          <w:szCs w:val="20"/>
        </w:rPr>
        <w:t>36, 2514</w:t>
      </w:r>
      <w:r w:rsidR="008341CA" w:rsidRPr="00E27367">
        <w:rPr>
          <w:sz w:val="20"/>
          <w:szCs w:val="20"/>
        </w:rPr>
        <w:t>–</w:t>
      </w:r>
      <w:r w:rsidR="008341CA">
        <w:rPr>
          <w:sz w:val="20"/>
          <w:szCs w:val="20"/>
        </w:rPr>
        <w:t xml:space="preserve">2521. </w:t>
      </w:r>
    </w:p>
    <w:p w:rsidR="004727E5" w:rsidRDefault="004727E5" w:rsidP="00E27367">
      <w:pPr>
        <w:rPr>
          <w:sz w:val="20"/>
          <w:szCs w:val="20"/>
        </w:rPr>
      </w:pPr>
    </w:p>
    <w:p w:rsidR="00E27367" w:rsidRPr="00E27367" w:rsidRDefault="00E27367" w:rsidP="00E27367">
      <w:pPr>
        <w:jc w:val="both"/>
        <w:rPr>
          <w:sz w:val="20"/>
          <w:szCs w:val="20"/>
        </w:rPr>
      </w:pPr>
      <w:proofErr w:type="gramStart"/>
      <w:r w:rsidRPr="00E27367">
        <w:rPr>
          <w:sz w:val="20"/>
          <w:szCs w:val="20"/>
        </w:rPr>
        <w:t>Healy</w:t>
      </w:r>
      <w:r>
        <w:rPr>
          <w:sz w:val="20"/>
          <w:szCs w:val="20"/>
        </w:rPr>
        <w:t>,</w:t>
      </w:r>
      <w:r w:rsidRPr="00E27367">
        <w:rPr>
          <w:sz w:val="20"/>
          <w:szCs w:val="20"/>
        </w:rPr>
        <w:t xml:space="preserve"> M</w:t>
      </w:r>
      <w:r>
        <w:rPr>
          <w:sz w:val="20"/>
          <w:szCs w:val="20"/>
        </w:rPr>
        <w:t>.</w:t>
      </w:r>
      <w:r w:rsidRPr="00E27367">
        <w:rPr>
          <w:sz w:val="20"/>
          <w:szCs w:val="20"/>
        </w:rPr>
        <w:t>J</w:t>
      </w:r>
      <w:r>
        <w:rPr>
          <w:sz w:val="20"/>
          <w:szCs w:val="20"/>
        </w:rPr>
        <w:t>.</w:t>
      </w:r>
      <w:r w:rsidRPr="00E27367">
        <w:rPr>
          <w:sz w:val="20"/>
          <w:szCs w:val="20"/>
        </w:rPr>
        <w:t>R</w:t>
      </w:r>
      <w:r>
        <w:rPr>
          <w:sz w:val="20"/>
          <w:szCs w:val="20"/>
        </w:rPr>
        <w:t>. and</w:t>
      </w:r>
      <w:r w:rsidRPr="00E27367">
        <w:rPr>
          <w:sz w:val="20"/>
          <w:szCs w:val="20"/>
        </w:rPr>
        <w:t xml:space="preserve"> Goldstein</w:t>
      </w:r>
      <w:r>
        <w:rPr>
          <w:sz w:val="20"/>
          <w:szCs w:val="20"/>
        </w:rPr>
        <w:t>,</w:t>
      </w:r>
      <w:r w:rsidRPr="00E27367">
        <w:rPr>
          <w:sz w:val="20"/>
          <w:szCs w:val="20"/>
        </w:rPr>
        <w:t xml:space="preserve"> H. </w:t>
      </w:r>
      <w:r>
        <w:rPr>
          <w:sz w:val="20"/>
          <w:szCs w:val="20"/>
        </w:rPr>
        <w:t>(1976).</w:t>
      </w:r>
      <w:proofErr w:type="gramEnd"/>
      <w:r>
        <w:rPr>
          <w:sz w:val="20"/>
          <w:szCs w:val="20"/>
        </w:rPr>
        <w:t xml:space="preserve">  </w:t>
      </w:r>
      <w:r w:rsidRPr="00E27367">
        <w:rPr>
          <w:sz w:val="20"/>
          <w:szCs w:val="20"/>
        </w:rPr>
        <w:t>An approach to the scaling of cat</w:t>
      </w:r>
      <w:r>
        <w:rPr>
          <w:sz w:val="20"/>
          <w:szCs w:val="20"/>
        </w:rPr>
        <w:t xml:space="preserve">egorised attributes. </w:t>
      </w:r>
      <w:r w:rsidR="004727E5">
        <w:rPr>
          <w:sz w:val="20"/>
          <w:szCs w:val="20"/>
        </w:rPr>
        <w:t xml:space="preserve"> </w:t>
      </w:r>
      <w:proofErr w:type="spellStart"/>
      <w:r>
        <w:rPr>
          <w:sz w:val="20"/>
          <w:szCs w:val="20"/>
        </w:rPr>
        <w:t>Biometrika</w:t>
      </w:r>
      <w:proofErr w:type="spellEnd"/>
      <w:r>
        <w:rPr>
          <w:sz w:val="20"/>
          <w:szCs w:val="20"/>
        </w:rPr>
        <w:t xml:space="preserve">, 63, </w:t>
      </w:r>
      <w:r w:rsidRPr="00E27367">
        <w:rPr>
          <w:sz w:val="20"/>
          <w:szCs w:val="20"/>
        </w:rPr>
        <w:t>219–229.</w:t>
      </w:r>
    </w:p>
    <w:p w:rsidR="00E27367" w:rsidRDefault="00E27367" w:rsidP="00E27367">
      <w:pPr>
        <w:rPr>
          <w:sz w:val="20"/>
          <w:szCs w:val="20"/>
        </w:rPr>
      </w:pPr>
    </w:p>
    <w:p w:rsidR="00AF267F" w:rsidRPr="00CB2C3E" w:rsidRDefault="00E27367" w:rsidP="00897DCB">
      <w:pPr>
        <w:rPr>
          <w:sz w:val="20"/>
          <w:szCs w:val="20"/>
        </w:rPr>
      </w:pPr>
      <w:proofErr w:type="gramStart"/>
      <w:r>
        <w:rPr>
          <w:sz w:val="20"/>
          <w:szCs w:val="20"/>
        </w:rPr>
        <w:t>Moore, J.C., Durrant, G.B.</w:t>
      </w:r>
      <w:r w:rsidRPr="00E27367">
        <w:rPr>
          <w:sz w:val="20"/>
          <w:szCs w:val="20"/>
        </w:rPr>
        <w:t xml:space="preserve"> and Smith, P.W.F. (2017).</w:t>
      </w:r>
      <w:proofErr w:type="gramEnd"/>
      <w:r w:rsidRPr="00E27367">
        <w:rPr>
          <w:sz w:val="20"/>
          <w:szCs w:val="20"/>
        </w:rPr>
        <w:t xml:space="preserve">  Dataset representativeness during data collection in three UK social surveys: generalizability and the effects of auxiliary covariate choice. </w:t>
      </w:r>
      <w:r w:rsidR="004727E5">
        <w:rPr>
          <w:sz w:val="20"/>
          <w:szCs w:val="20"/>
        </w:rPr>
        <w:t xml:space="preserve"> </w:t>
      </w:r>
      <w:proofErr w:type="gramStart"/>
      <w:r w:rsidRPr="00E27367">
        <w:rPr>
          <w:sz w:val="20"/>
          <w:szCs w:val="20"/>
        </w:rPr>
        <w:t>Journal of the Royal Statistical Society, Series A</w:t>
      </w:r>
      <w:r w:rsidR="004727E5">
        <w:rPr>
          <w:sz w:val="20"/>
          <w:szCs w:val="20"/>
        </w:rPr>
        <w:t>.</w:t>
      </w:r>
      <w:proofErr w:type="gramEnd"/>
      <w:r w:rsidR="00AA51C0">
        <w:rPr>
          <w:sz w:val="20"/>
          <w:szCs w:val="20"/>
        </w:rPr>
        <w:t xml:space="preserve"> </w:t>
      </w:r>
      <w:r w:rsidR="004727E5">
        <w:rPr>
          <w:sz w:val="20"/>
          <w:szCs w:val="20"/>
        </w:rPr>
        <w:t xml:space="preserve"> </w:t>
      </w:r>
      <w:r w:rsidR="004727E5" w:rsidRPr="004727E5">
        <w:rPr>
          <w:sz w:val="20"/>
          <w:szCs w:val="20"/>
        </w:rPr>
        <w:t xml:space="preserve">Available </w:t>
      </w:r>
      <w:r w:rsidR="004727E5" w:rsidRPr="00AA51C0">
        <w:rPr>
          <w:sz w:val="20"/>
          <w:szCs w:val="20"/>
        </w:rPr>
        <w:t>online: [</w:t>
      </w:r>
      <w:r w:rsidR="00897DCB" w:rsidRPr="00AA51C0">
        <w:rPr>
          <w:sz w:val="20"/>
          <w:szCs w:val="20"/>
        </w:rPr>
        <w:t>3</w:t>
      </w:r>
      <w:r w:rsidR="009B46F2">
        <w:rPr>
          <w:sz w:val="20"/>
          <w:szCs w:val="20"/>
        </w:rPr>
        <w:t>0</w:t>
      </w:r>
      <w:r w:rsidR="004727E5" w:rsidRPr="00AA51C0">
        <w:rPr>
          <w:sz w:val="20"/>
          <w:szCs w:val="20"/>
        </w:rPr>
        <w:t>/0</w:t>
      </w:r>
      <w:r w:rsidR="00897DCB" w:rsidRPr="00AA51C0">
        <w:rPr>
          <w:sz w:val="20"/>
          <w:szCs w:val="20"/>
        </w:rPr>
        <w:t>8</w:t>
      </w:r>
      <w:r w:rsidR="004727E5" w:rsidRPr="00AA51C0">
        <w:rPr>
          <w:sz w:val="20"/>
          <w:szCs w:val="20"/>
        </w:rPr>
        <w:t>/2</w:t>
      </w:r>
      <w:bookmarkStart w:id="0" w:name="_GoBack"/>
      <w:bookmarkEnd w:id="0"/>
      <w:r w:rsidR="004727E5" w:rsidRPr="00AA51C0">
        <w:rPr>
          <w:sz w:val="20"/>
          <w:szCs w:val="20"/>
        </w:rPr>
        <w:t>01</w:t>
      </w:r>
      <w:r w:rsidR="00897DCB" w:rsidRPr="00AA51C0">
        <w:rPr>
          <w:sz w:val="20"/>
          <w:szCs w:val="20"/>
        </w:rPr>
        <w:t>7</w:t>
      </w:r>
      <w:r w:rsidR="004727E5" w:rsidRPr="00AA51C0">
        <w:rPr>
          <w:sz w:val="20"/>
          <w:szCs w:val="20"/>
        </w:rPr>
        <w:t>]</w:t>
      </w:r>
      <w:r w:rsidR="00AA51C0" w:rsidRPr="00AA51C0">
        <w:rPr>
          <w:sz w:val="20"/>
          <w:szCs w:val="20"/>
        </w:rPr>
        <w:t xml:space="preserve"> http://onlinelibrary.wiley.com/doi/10.1111/rssa.12256/pdf</w:t>
      </w:r>
      <w:r w:rsidRPr="00AA51C0">
        <w:rPr>
          <w:sz w:val="20"/>
          <w:szCs w:val="20"/>
        </w:rPr>
        <w:t>.</w:t>
      </w:r>
    </w:p>
    <w:sectPr w:rsidR="00AF267F" w:rsidRPr="00CB2C3E"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8F" w:rsidRDefault="00722F8F">
      <w:r>
        <w:separator/>
      </w:r>
    </w:p>
  </w:endnote>
  <w:endnote w:type="continuationSeparator" w:id="0">
    <w:p w:rsidR="00722F8F" w:rsidRDefault="00722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8F" w:rsidRDefault="00722F8F">
      <w:r>
        <w:separator/>
      </w:r>
    </w:p>
  </w:footnote>
  <w:footnote w:type="continuationSeparator" w:id="0">
    <w:p w:rsidR="00722F8F" w:rsidRDefault="00722F8F">
      <w:r>
        <w:continuationSeparator/>
      </w:r>
    </w:p>
  </w:footnote>
  <w:footnote w:id="1">
    <w:p w:rsidR="00722F8F" w:rsidRDefault="00722F8F" w:rsidP="00C23117">
      <w:pPr>
        <w:jc w:val="both"/>
      </w:pPr>
      <w:r w:rsidRPr="00354894">
        <w:rPr>
          <w:vertAlign w:val="superscript"/>
        </w:rPr>
        <w:footnoteRef/>
      </w:r>
      <w:r>
        <w:rPr>
          <w:sz w:val="20"/>
          <w:szCs w:val="20"/>
        </w:rPr>
        <w:t>Peter W. F. Smith</w:t>
      </w:r>
      <w:r w:rsidRPr="00D64E36">
        <w:rPr>
          <w:sz w:val="20"/>
          <w:szCs w:val="20"/>
        </w:rPr>
        <w:t xml:space="preserve">, </w:t>
      </w:r>
      <w:r>
        <w:rPr>
          <w:sz w:val="20"/>
          <w:szCs w:val="20"/>
        </w:rPr>
        <w:t>Administrative Data Research Centre for England and the University of Southampton</w:t>
      </w:r>
      <w:r w:rsidRPr="00D64E36">
        <w:rPr>
          <w:sz w:val="20"/>
          <w:szCs w:val="20"/>
        </w:rPr>
        <w:t>,</w:t>
      </w:r>
      <w:r>
        <w:rPr>
          <w:sz w:val="20"/>
          <w:szCs w:val="20"/>
        </w:rPr>
        <w:t xml:space="preserve"> P.W.Smith@soton.ac.uk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73049"/>
    <w:multiLevelType w:val="hybridMultilevel"/>
    <w:tmpl w:val="60A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7F22D6"/>
    <w:multiLevelType w:val="hybridMultilevel"/>
    <w:tmpl w:val="404C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0070E"/>
    <w:rsid w:val="00002FFB"/>
    <w:rsid w:val="000261C4"/>
    <w:rsid w:val="00027A43"/>
    <w:rsid w:val="00033303"/>
    <w:rsid w:val="00057D5E"/>
    <w:rsid w:val="00064C71"/>
    <w:rsid w:val="00074550"/>
    <w:rsid w:val="000C4519"/>
    <w:rsid w:val="000F2A1C"/>
    <w:rsid w:val="000F7761"/>
    <w:rsid w:val="001033B2"/>
    <w:rsid w:val="00106B1E"/>
    <w:rsid w:val="00123AFB"/>
    <w:rsid w:val="00131D46"/>
    <w:rsid w:val="001503DE"/>
    <w:rsid w:val="00164FC5"/>
    <w:rsid w:val="00174A15"/>
    <w:rsid w:val="001B34D1"/>
    <w:rsid w:val="001B7A58"/>
    <w:rsid w:val="001C3E5B"/>
    <w:rsid w:val="001D7250"/>
    <w:rsid w:val="00201E7F"/>
    <w:rsid w:val="002108B4"/>
    <w:rsid w:val="00221C29"/>
    <w:rsid w:val="002323CA"/>
    <w:rsid w:val="002337D1"/>
    <w:rsid w:val="00233E42"/>
    <w:rsid w:val="0026689B"/>
    <w:rsid w:val="002B6EF1"/>
    <w:rsid w:val="002C7905"/>
    <w:rsid w:val="002D69F6"/>
    <w:rsid w:val="002D7E8B"/>
    <w:rsid w:val="002E74BB"/>
    <w:rsid w:val="003110B7"/>
    <w:rsid w:val="003112B3"/>
    <w:rsid w:val="00320472"/>
    <w:rsid w:val="00332243"/>
    <w:rsid w:val="00345DE1"/>
    <w:rsid w:val="00346285"/>
    <w:rsid w:val="00346F41"/>
    <w:rsid w:val="003941CF"/>
    <w:rsid w:val="003D3F7E"/>
    <w:rsid w:val="00403F8E"/>
    <w:rsid w:val="00404798"/>
    <w:rsid w:val="004270FA"/>
    <w:rsid w:val="00456B7C"/>
    <w:rsid w:val="004727E5"/>
    <w:rsid w:val="00496278"/>
    <w:rsid w:val="0049654F"/>
    <w:rsid w:val="004B7528"/>
    <w:rsid w:val="004F4BE7"/>
    <w:rsid w:val="00503BDD"/>
    <w:rsid w:val="00503D49"/>
    <w:rsid w:val="005415F8"/>
    <w:rsid w:val="0054508A"/>
    <w:rsid w:val="00560849"/>
    <w:rsid w:val="005A5A59"/>
    <w:rsid w:val="005B3CEC"/>
    <w:rsid w:val="005B51CE"/>
    <w:rsid w:val="005C54EC"/>
    <w:rsid w:val="005C7DFC"/>
    <w:rsid w:val="00603DBD"/>
    <w:rsid w:val="0060513B"/>
    <w:rsid w:val="00610DDD"/>
    <w:rsid w:val="006374B0"/>
    <w:rsid w:val="00642F43"/>
    <w:rsid w:val="00662876"/>
    <w:rsid w:val="00673B25"/>
    <w:rsid w:val="0068725A"/>
    <w:rsid w:val="006948B1"/>
    <w:rsid w:val="006A5FDF"/>
    <w:rsid w:val="006B75C6"/>
    <w:rsid w:val="006C4991"/>
    <w:rsid w:val="006E4412"/>
    <w:rsid w:val="006E7854"/>
    <w:rsid w:val="006F3AA5"/>
    <w:rsid w:val="007071B3"/>
    <w:rsid w:val="00722F8F"/>
    <w:rsid w:val="0075630C"/>
    <w:rsid w:val="00763CE0"/>
    <w:rsid w:val="007978D1"/>
    <w:rsid w:val="007D63CD"/>
    <w:rsid w:val="007D7BCB"/>
    <w:rsid w:val="007E25B5"/>
    <w:rsid w:val="007E4007"/>
    <w:rsid w:val="008163AB"/>
    <w:rsid w:val="00827555"/>
    <w:rsid w:val="008341CA"/>
    <w:rsid w:val="00853D95"/>
    <w:rsid w:val="00856FD8"/>
    <w:rsid w:val="0086119B"/>
    <w:rsid w:val="00892655"/>
    <w:rsid w:val="00897466"/>
    <w:rsid w:val="00897DCB"/>
    <w:rsid w:val="008A0E61"/>
    <w:rsid w:val="008A602C"/>
    <w:rsid w:val="008A78FB"/>
    <w:rsid w:val="008B5B94"/>
    <w:rsid w:val="008E0F41"/>
    <w:rsid w:val="008E7473"/>
    <w:rsid w:val="008F633C"/>
    <w:rsid w:val="0090140D"/>
    <w:rsid w:val="0092067D"/>
    <w:rsid w:val="0093127B"/>
    <w:rsid w:val="00931A18"/>
    <w:rsid w:val="00931B27"/>
    <w:rsid w:val="009348D3"/>
    <w:rsid w:val="00954499"/>
    <w:rsid w:val="00954B13"/>
    <w:rsid w:val="00960ABC"/>
    <w:rsid w:val="009711F3"/>
    <w:rsid w:val="009807BB"/>
    <w:rsid w:val="009840A9"/>
    <w:rsid w:val="00985DA8"/>
    <w:rsid w:val="00996859"/>
    <w:rsid w:val="009A3168"/>
    <w:rsid w:val="009A7746"/>
    <w:rsid w:val="009A7A2F"/>
    <w:rsid w:val="009B46F2"/>
    <w:rsid w:val="009B4A97"/>
    <w:rsid w:val="009C58C3"/>
    <w:rsid w:val="009E2009"/>
    <w:rsid w:val="009E60F7"/>
    <w:rsid w:val="009F2635"/>
    <w:rsid w:val="009F2B95"/>
    <w:rsid w:val="00A076CC"/>
    <w:rsid w:val="00A11C66"/>
    <w:rsid w:val="00A4356A"/>
    <w:rsid w:val="00A51AF0"/>
    <w:rsid w:val="00AA1334"/>
    <w:rsid w:val="00AA51C0"/>
    <w:rsid w:val="00AB6118"/>
    <w:rsid w:val="00AC654C"/>
    <w:rsid w:val="00AD1392"/>
    <w:rsid w:val="00AF267F"/>
    <w:rsid w:val="00B007A3"/>
    <w:rsid w:val="00B1200A"/>
    <w:rsid w:val="00B147E8"/>
    <w:rsid w:val="00B23264"/>
    <w:rsid w:val="00B24EF2"/>
    <w:rsid w:val="00B3640E"/>
    <w:rsid w:val="00B45AAD"/>
    <w:rsid w:val="00B752AB"/>
    <w:rsid w:val="00B86FD5"/>
    <w:rsid w:val="00B87168"/>
    <w:rsid w:val="00BB0ADA"/>
    <w:rsid w:val="00BF0DFF"/>
    <w:rsid w:val="00BF3D28"/>
    <w:rsid w:val="00BF460F"/>
    <w:rsid w:val="00C10BBB"/>
    <w:rsid w:val="00C11E35"/>
    <w:rsid w:val="00C23117"/>
    <w:rsid w:val="00C56664"/>
    <w:rsid w:val="00C64D71"/>
    <w:rsid w:val="00C766F3"/>
    <w:rsid w:val="00C82A74"/>
    <w:rsid w:val="00CB2C3E"/>
    <w:rsid w:val="00CB7662"/>
    <w:rsid w:val="00CF43D4"/>
    <w:rsid w:val="00D12D6C"/>
    <w:rsid w:val="00D41621"/>
    <w:rsid w:val="00D526C7"/>
    <w:rsid w:val="00D71DDE"/>
    <w:rsid w:val="00D901B5"/>
    <w:rsid w:val="00D95635"/>
    <w:rsid w:val="00DB53B4"/>
    <w:rsid w:val="00DF2A92"/>
    <w:rsid w:val="00DF5AD4"/>
    <w:rsid w:val="00E25170"/>
    <w:rsid w:val="00E27367"/>
    <w:rsid w:val="00E31A10"/>
    <w:rsid w:val="00E623DD"/>
    <w:rsid w:val="00E707F8"/>
    <w:rsid w:val="00E7418D"/>
    <w:rsid w:val="00E95858"/>
    <w:rsid w:val="00EA5C62"/>
    <w:rsid w:val="00EB1430"/>
    <w:rsid w:val="00EF31B0"/>
    <w:rsid w:val="00F04C41"/>
    <w:rsid w:val="00F10372"/>
    <w:rsid w:val="00F17674"/>
    <w:rsid w:val="00F213BF"/>
    <w:rsid w:val="00F43C4B"/>
    <w:rsid w:val="00F574B0"/>
    <w:rsid w:val="00F65E2A"/>
    <w:rsid w:val="00F7645B"/>
    <w:rsid w:val="00F773EB"/>
    <w:rsid w:val="00F90963"/>
    <w:rsid w:val="00FA10F9"/>
    <w:rsid w:val="00FC5788"/>
    <w:rsid w:val="00FD3072"/>
    <w:rsid w:val="00FE4AD9"/>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ListParagraph">
    <w:name w:val="List Paragraph"/>
    <w:basedOn w:val="Normal"/>
    <w:uiPriority w:val="34"/>
    <w:qFormat/>
    <w:rsid w:val="00002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ListParagraph">
    <w:name w:val="List Paragraph"/>
    <w:basedOn w:val="Normal"/>
    <w:uiPriority w:val="34"/>
    <w:qFormat/>
    <w:rsid w:val="00002FFB"/>
    <w:pPr>
      <w:ind w:left="720"/>
      <w:contextualSpacing/>
    </w:pPr>
  </w:style>
</w:styles>
</file>

<file path=word/webSettings.xml><?xml version="1.0" encoding="utf-8"?>
<w:webSettings xmlns:r="http://schemas.openxmlformats.org/officeDocument/2006/relationships" xmlns:w="http://schemas.openxmlformats.org/wordprocessingml/2006/main">
  <w:divs>
    <w:div w:id="74858873">
      <w:bodyDiv w:val="1"/>
      <w:marLeft w:val="0"/>
      <w:marRight w:val="0"/>
      <w:marTop w:val="0"/>
      <w:marBottom w:val="0"/>
      <w:divBdr>
        <w:top w:val="none" w:sz="0" w:space="0" w:color="auto"/>
        <w:left w:val="none" w:sz="0" w:space="0" w:color="auto"/>
        <w:bottom w:val="none" w:sz="0" w:space="0" w:color="auto"/>
        <w:right w:val="none" w:sz="0" w:space="0" w:color="auto"/>
      </w:divBdr>
      <w:divsChild>
        <w:div w:id="1025518181">
          <w:marLeft w:val="547"/>
          <w:marRight w:val="0"/>
          <w:marTop w:val="0"/>
          <w:marBottom w:val="240"/>
          <w:divBdr>
            <w:top w:val="none" w:sz="0" w:space="0" w:color="auto"/>
            <w:left w:val="none" w:sz="0" w:space="0" w:color="auto"/>
            <w:bottom w:val="none" w:sz="0" w:space="0" w:color="auto"/>
            <w:right w:val="none" w:sz="0" w:space="0" w:color="auto"/>
          </w:divBdr>
        </w:div>
      </w:divsChild>
    </w:div>
    <w:div w:id="543833109">
      <w:bodyDiv w:val="1"/>
      <w:marLeft w:val="0"/>
      <w:marRight w:val="0"/>
      <w:marTop w:val="0"/>
      <w:marBottom w:val="0"/>
      <w:divBdr>
        <w:top w:val="none" w:sz="0" w:space="0" w:color="auto"/>
        <w:left w:val="none" w:sz="0" w:space="0" w:color="auto"/>
        <w:bottom w:val="none" w:sz="0" w:space="0" w:color="auto"/>
        <w:right w:val="none" w:sz="0" w:space="0" w:color="auto"/>
      </w:divBdr>
      <w:divsChild>
        <w:div w:id="1846895909">
          <w:marLeft w:val="1253"/>
          <w:marRight w:val="0"/>
          <w:marTop w:val="0"/>
          <w:marBottom w:val="240"/>
          <w:divBdr>
            <w:top w:val="none" w:sz="0" w:space="0" w:color="auto"/>
            <w:left w:val="none" w:sz="0" w:space="0" w:color="auto"/>
            <w:bottom w:val="none" w:sz="0" w:space="0" w:color="auto"/>
            <w:right w:val="none" w:sz="0" w:space="0" w:color="auto"/>
          </w:divBdr>
        </w:div>
        <w:div w:id="1639602381">
          <w:marLeft w:val="1253"/>
          <w:marRight w:val="0"/>
          <w:marTop w:val="0"/>
          <w:marBottom w:val="240"/>
          <w:divBdr>
            <w:top w:val="none" w:sz="0" w:space="0" w:color="auto"/>
            <w:left w:val="none" w:sz="0" w:space="0" w:color="auto"/>
            <w:bottom w:val="none" w:sz="0" w:space="0" w:color="auto"/>
            <w:right w:val="none" w:sz="0" w:space="0" w:color="auto"/>
          </w:divBdr>
        </w:div>
        <w:div w:id="462119543">
          <w:marLeft w:val="1253"/>
          <w:marRight w:val="0"/>
          <w:marTop w:val="0"/>
          <w:marBottom w:val="240"/>
          <w:divBdr>
            <w:top w:val="none" w:sz="0" w:space="0" w:color="auto"/>
            <w:left w:val="none" w:sz="0" w:space="0" w:color="auto"/>
            <w:bottom w:val="none" w:sz="0" w:space="0" w:color="auto"/>
            <w:right w:val="none" w:sz="0" w:space="0" w:color="auto"/>
          </w:divBdr>
        </w:div>
        <w:div w:id="1421101065">
          <w:marLeft w:val="547"/>
          <w:marRight w:val="0"/>
          <w:marTop w:val="0"/>
          <w:marBottom w:val="240"/>
          <w:divBdr>
            <w:top w:val="none" w:sz="0" w:space="0" w:color="auto"/>
            <w:left w:val="none" w:sz="0" w:space="0" w:color="auto"/>
            <w:bottom w:val="none" w:sz="0" w:space="0" w:color="auto"/>
            <w:right w:val="none" w:sz="0" w:space="0" w:color="auto"/>
          </w:divBdr>
        </w:div>
        <w:div w:id="257443040">
          <w:marLeft w:val="1253"/>
          <w:marRight w:val="0"/>
          <w:marTop w:val="0"/>
          <w:marBottom w:val="240"/>
          <w:divBdr>
            <w:top w:val="none" w:sz="0" w:space="0" w:color="auto"/>
            <w:left w:val="none" w:sz="0" w:space="0" w:color="auto"/>
            <w:bottom w:val="none" w:sz="0" w:space="0" w:color="auto"/>
            <w:right w:val="none" w:sz="0" w:space="0" w:color="auto"/>
          </w:divBdr>
        </w:div>
        <w:div w:id="1970623946">
          <w:marLeft w:val="1253"/>
          <w:marRight w:val="0"/>
          <w:marTop w:val="0"/>
          <w:marBottom w:val="240"/>
          <w:divBdr>
            <w:top w:val="none" w:sz="0" w:space="0" w:color="auto"/>
            <w:left w:val="none" w:sz="0" w:space="0" w:color="auto"/>
            <w:bottom w:val="none" w:sz="0" w:space="0" w:color="auto"/>
            <w:right w:val="none" w:sz="0" w:space="0" w:color="auto"/>
          </w:divBdr>
        </w:div>
        <w:div w:id="967316846">
          <w:marLeft w:val="1253"/>
          <w:marRight w:val="0"/>
          <w:marTop w:val="0"/>
          <w:marBottom w:val="240"/>
          <w:divBdr>
            <w:top w:val="none" w:sz="0" w:space="0" w:color="auto"/>
            <w:left w:val="none" w:sz="0" w:space="0" w:color="auto"/>
            <w:bottom w:val="none" w:sz="0" w:space="0" w:color="auto"/>
            <w:right w:val="none" w:sz="0" w:space="0" w:color="auto"/>
          </w:divBdr>
        </w:div>
      </w:divsChild>
    </w:div>
    <w:div w:id="711803937">
      <w:bodyDiv w:val="1"/>
      <w:marLeft w:val="0"/>
      <w:marRight w:val="0"/>
      <w:marTop w:val="0"/>
      <w:marBottom w:val="0"/>
      <w:divBdr>
        <w:top w:val="none" w:sz="0" w:space="0" w:color="auto"/>
        <w:left w:val="none" w:sz="0" w:space="0" w:color="auto"/>
        <w:bottom w:val="none" w:sz="0" w:space="0" w:color="auto"/>
        <w:right w:val="none" w:sz="0" w:space="0" w:color="auto"/>
      </w:divBdr>
      <w:divsChild>
        <w:div w:id="971179189">
          <w:marLeft w:val="0"/>
          <w:marRight w:val="0"/>
          <w:marTop w:val="0"/>
          <w:marBottom w:val="0"/>
          <w:divBdr>
            <w:top w:val="none" w:sz="0" w:space="0" w:color="auto"/>
            <w:left w:val="none" w:sz="0" w:space="0" w:color="auto"/>
            <w:bottom w:val="none" w:sz="0" w:space="0" w:color="auto"/>
            <w:right w:val="none" w:sz="0" w:space="0" w:color="auto"/>
          </w:divBdr>
        </w:div>
      </w:divsChild>
    </w:div>
    <w:div w:id="803691772">
      <w:bodyDiv w:val="1"/>
      <w:marLeft w:val="0"/>
      <w:marRight w:val="0"/>
      <w:marTop w:val="0"/>
      <w:marBottom w:val="0"/>
      <w:divBdr>
        <w:top w:val="none" w:sz="0" w:space="0" w:color="auto"/>
        <w:left w:val="none" w:sz="0" w:space="0" w:color="auto"/>
        <w:bottom w:val="none" w:sz="0" w:space="0" w:color="auto"/>
        <w:right w:val="none" w:sz="0" w:space="0" w:color="auto"/>
      </w:divBdr>
      <w:divsChild>
        <w:div w:id="1126386611">
          <w:marLeft w:val="547"/>
          <w:marRight w:val="0"/>
          <w:marTop w:val="0"/>
          <w:marBottom w:val="240"/>
          <w:divBdr>
            <w:top w:val="none" w:sz="0" w:space="0" w:color="auto"/>
            <w:left w:val="none" w:sz="0" w:space="0" w:color="auto"/>
            <w:bottom w:val="none" w:sz="0" w:space="0" w:color="auto"/>
            <w:right w:val="none" w:sz="0" w:space="0" w:color="auto"/>
          </w:divBdr>
        </w:div>
        <w:div w:id="184758962">
          <w:marLeft w:val="547"/>
          <w:marRight w:val="0"/>
          <w:marTop w:val="0"/>
          <w:marBottom w:val="240"/>
          <w:divBdr>
            <w:top w:val="none" w:sz="0" w:space="0" w:color="auto"/>
            <w:left w:val="none" w:sz="0" w:space="0" w:color="auto"/>
            <w:bottom w:val="none" w:sz="0" w:space="0" w:color="auto"/>
            <w:right w:val="none" w:sz="0" w:space="0" w:color="auto"/>
          </w:divBdr>
        </w:div>
        <w:div w:id="1141002878">
          <w:marLeft w:val="547"/>
          <w:marRight w:val="0"/>
          <w:marTop w:val="0"/>
          <w:marBottom w:val="240"/>
          <w:divBdr>
            <w:top w:val="none" w:sz="0" w:space="0" w:color="auto"/>
            <w:left w:val="none" w:sz="0" w:space="0" w:color="auto"/>
            <w:bottom w:val="none" w:sz="0" w:space="0" w:color="auto"/>
            <w:right w:val="none" w:sz="0" w:space="0" w:color="auto"/>
          </w:divBdr>
        </w:div>
        <w:div w:id="2110664001">
          <w:marLeft w:val="547"/>
          <w:marRight w:val="0"/>
          <w:marTop w:val="0"/>
          <w:marBottom w:val="240"/>
          <w:divBdr>
            <w:top w:val="none" w:sz="0" w:space="0" w:color="auto"/>
            <w:left w:val="none" w:sz="0" w:space="0" w:color="auto"/>
            <w:bottom w:val="none" w:sz="0" w:space="0" w:color="auto"/>
            <w:right w:val="none" w:sz="0" w:space="0" w:color="auto"/>
          </w:divBdr>
        </w:div>
      </w:divsChild>
    </w:div>
    <w:div w:id="1337348646">
      <w:bodyDiv w:val="1"/>
      <w:marLeft w:val="0"/>
      <w:marRight w:val="0"/>
      <w:marTop w:val="0"/>
      <w:marBottom w:val="0"/>
      <w:divBdr>
        <w:top w:val="none" w:sz="0" w:space="0" w:color="auto"/>
        <w:left w:val="none" w:sz="0" w:space="0" w:color="auto"/>
        <w:bottom w:val="none" w:sz="0" w:space="0" w:color="auto"/>
        <w:right w:val="none" w:sz="0" w:space="0" w:color="auto"/>
      </w:divBdr>
      <w:divsChild>
        <w:div w:id="1858538624">
          <w:marLeft w:val="0"/>
          <w:marRight w:val="0"/>
          <w:marTop w:val="0"/>
          <w:marBottom w:val="0"/>
          <w:divBdr>
            <w:top w:val="none" w:sz="0" w:space="0" w:color="auto"/>
            <w:left w:val="none" w:sz="0" w:space="0" w:color="auto"/>
            <w:bottom w:val="none" w:sz="0" w:space="0" w:color="auto"/>
            <w:right w:val="none" w:sz="0" w:space="0" w:color="auto"/>
          </w:divBdr>
        </w:div>
        <w:div w:id="166988122">
          <w:marLeft w:val="0"/>
          <w:marRight w:val="0"/>
          <w:marTop w:val="0"/>
          <w:marBottom w:val="0"/>
          <w:divBdr>
            <w:top w:val="none" w:sz="0" w:space="0" w:color="auto"/>
            <w:left w:val="none" w:sz="0" w:space="0" w:color="auto"/>
            <w:bottom w:val="none" w:sz="0" w:space="0" w:color="auto"/>
            <w:right w:val="none" w:sz="0" w:space="0" w:color="auto"/>
          </w:divBdr>
        </w:div>
      </w:divsChild>
    </w:div>
    <w:div w:id="1345741700">
      <w:bodyDiv w:val="1"/>
      <w:marLeft w:val="0"/>
      <w:marRight w:val="0"/>
      <w:marTop w:val="0"/>
      <w:marBottom w:val="0"/>
      <w:divBdr>
        <w:top w:val="none" w:sz="0" w:space="0" w:color="auto"/>
        <w:left w:val="none" w:sz="0" w:space="0" w:color="auto"/>
        <w:bottom w:val="none" w:sz="0" w:space="0" w:color="auto"/>
        <w:right w:val="none" w:sz="0" w:space="0" w:color="auto"/>
      </w:divBdr>
      <w:divsChild>
        <w:div w:id="304551312">
          <w:marLeft w:val="1253"/>
          <w:marRight w:val="0"/>
          <w:marTop w:val="0"/>
          <w:marBottom w:val="120"/>
          <w:divBdr>
            <w:top w:val="none" w:sz="0" w:space="0" w:color="auto"/>
            <w:left w:val="none" w:sz="0" w:space="0" w:color="auto"/>
            <w:bottom w:val="none" w:sz="0" w:space="0" w:color="auto"/>
            <w:right w:val="none" w:sz="0" w:space="0" w:color="auto"/>
          </w:divBdr>
        </w:div>
        <w:div w:id="1164585209">
          <w:marLeft w:val="1253"/>
          <w:marRight w:val="0"/>
          <w:marTop w:val="0"/>
          <w:marBottom w:val="120"/>
          <w:divBdr>
            <w:top w:val="none" w:sz="0" w:space="0" w:color="auto"/>
            <w:left w:val="none" w:sz="0" w:space="0" w:color="auto"/>
            <w:bottom w:val="none" w:sz="0" w:space="0" w:color="auto"/>
            <w:right w:val="none" w:sz="0" w:space="0" w:color="auto"/>
          </w:divBdr>
        </w:div>
        <w:div w:id="1944141970">
          <w:marLeft w:val="1253"/>
          <w:marRight w:val="0"/>
          <w:marTop w:val="0"/>
          <w:marBottom w:val="120"/>
          <w:divBdr>
            <w:top w:val="none" w:sz="0" w:space="0" w:color="auto"/>
            <w:left w:val="none" w:sz="0" w:space="0" w:color="auto"/>
            <w:bottom w:val="none" w:sz="0" w:space="0" w:color="auto"/>
            <w:right w:val="none" w:sz="0" w:space="0" w:color="auto"/>
          </w:divBdr>
        </w:div>
        <w:div w:id="135074914">
          <w:marLeft w:val="1253"/>
          <w:marRight w:val="0"/>
          <w:marTop w:val="0"/>
          <w:marBottom w:val="120"/>
          <w:divBdr>
            <w:top w:val="none" w:sz="0" w:space="0" w:color="auto"/>
            <w:left w:val="none" w:sz="0" w:space="0" w:color="auto"/>
            <w:bottom w:val="none" w:sz="0" w:space="0" w:color="auto"/>
            <w:right w:val="none" w:sz="0" w:space="0" w:color="auto"/>
          </w:divBdr>
        </w:div>
        <w:div w:id="962812983">
          <w:marLeft w:val="1253"/>
          <w:marRight w:val="0"/>
          <w:marTop w:val="0"/>
          <w:marBottom w:val="120"/>
          <w:divBdr>
            <w:top w:val="none" w:sz="0" w:space="0" w:color="auto"/>
            <w:left w:val="none" w:sz="0" w:space="0" w:color="auto"/>
            <w:bottom w:val="none" w:sz="0" w:space="0" w:color="auto"/>
            <w:right w:val="none" w:sz="0" w:space="0" w:color="auto"/>
          </w:divBdr>
        </w:div>
        <w:div w:id="861943594">
          <w:marLeft w:val="1253"/>
          <w:marRight w:val="0"/>
          <w:marTop w:val="0"/>
          <w:marBottom w:val="120"/>
          <w:divBdr>
            <w:top w:val="none" w:sz="0" w:space="0" w:color="auto"/>
            <w:left w:val="none" w:sz="0" w:space="0" w:color="auto"/>
            <w:bottom w:val="none" w:sz="0" w:space="0" w:color="auto"/>
            <w:right w:val="none" w:sz="0" w:space="0" w:color="auto"/>
          </w:divBdr>
        </w:div>
      </w:divsChild>
    </w:div>
    <w:div w:id="1614242589">
      <w:bodyDiv w:val="1"/>
      <w:marLeft w:val="0"/>
      <w:marRight w:val="0"/>
      <w:marTop w:val="0"/>
      <w:marBottom w:val="0"/>
      <w:divBdr>
        <w:top w:val="none" w:sz="0" w:space="0" w:color="auto"/>
        <w:left w:val="none" w:sz="0" w:space="0" w:color="auto"/>
        <w:bottom w:val="none" w:sz="0" w:space="0" w:color="auto"/>
        <w:right w:val="none" w:sz="0" w:space="0" w:color="auto"/>
      </w:divBdr>
      <w:divsChild>
        <w:div w:id="1269967276">
          <w:marLeft w:val="547"/>
          <w:marRight w:val="0"/>
          <w:marTop w:val="0"/>
          <w:marBottom w:val="240"/>
          <w:divBdr>
            <w:top w:val="none" w:sz="0" w:space="0" w:color="auto"/>
            <w:left w:val="none" w:sz="0" w:space="0" w:color="auto"/>
            <w:bottom w:val="none" w:sz="0" w:space="0" w:color="auto"/>
            <w:right w:val="none" w:sz="0" w:space="0" w:color="auto"/>
          </w:divBdr>
        </w:div>
        <w:div w:id="118033421">
          <w:marLeft w:val="1138"/>
          <w:marRight w:val="0"/>
          <w:marTop w:val="0"/>
          <w:marBottom w:val="240"/>
          <w:divBdr>
            <w:top w:val="none" w:sz="0" w:space="0" w:color="auto"/>
            <w:left w:val="none" w:sz="0" w:space="0" w:color="auto"/>
            <w:bottom w:val="none" w:sz="0" w:space="0" w:color="auto"/>
            <w:right w:val="none" w:sz="0" w:space="0" w:color="auto"/>
          </w:divBdr>
        </w:div>
        <w:div w:id="1939292654">
          <w:marLeft w:val="1138"/>
          <w:marRight w:val="0"/>
          <w:marTop w:val="0"/>
          <w:marBottom w:val="240"/>
          <w:divBdr>
            <w:top w:val="none" w:sz="0" w:space="0" w:color="auto"/>
            <w:left w:val="none" w:sz="0" w:space="0" w:color="auto"/>
            <w:bottom w:val="none" w:sz="0" w:space="0" w:color="auto"/>
            <w:right w:val="none" w:sz="0" w:space="0" w:color="auto"/>
          </w:divBdr>
        </w:div>
        <w:div w:id="1432970253">
          <w:marLeft w:val="1138"/>
          <w:marRight w:val="0"/>
          <w:marTop w:val="0"/>
          <w:marBottom w:val="240"/>
          <w:divBdr>
            <w:top w:val="none" w:sz="0" w:space="0" w:color="auto"/>
            <w:left w:val="none" w:sz="0" w:space="0" w:color="auto"/>
            <w:bottom w:val="none" w:sz="0" w:space="0" w:color="auto"/>
            <w:right w:val="none" w:sz="0" w:space="0" w:color="auto"/>
          </w:divBdr>
        </w:div>
        <w:div w:id="1824276405">
          <w:marLeft w:val="1138"/>
          <w:marRight w:val="0"/>
          <w:marTop w:val="0"/>
          <w:marBottom w:val="240"/>
          <w:divBdr>
            <w:top w:val="none" w:sz="0" w:space="0" w:color="auto"/>
            <w:left w:val="none" w:sz="0" w:space="0" w:color="auto"/>
            <w:bottom w:val="none" w:sz="0" w:space="0" w:color="auto"/>
            <w:right w:val="none" w:sz="0" w:space="0" w:color="auto"/>
          </w:divBdr>
        </w:div>
        <w:div w:id="799880197">
          <w:marLeft w:val="547"/>
          <w:marRight w:val="0"/>
          <w:marTop w:val="0"/>
          <w:marBottom w:val="240"/>
          <w:divBdr>
            <w:top w:val="none" w:sz="0" w:space="0" w:color="auto"/>
            <w:left w:val="none" w:sz="0" w:space="0" w:color="auto"/>
            <w:bottom w:val="none" w:sz="0" w:space="0" w:color="auto"/>
            <w:right w:val="none" w:sz="0" w:space="0" w:color="auto"/>
          </w:divBdr>
        </w:div>
        <w:div w:id="1007946911">
          <w:marLeft w:val="547"/>
          <w:marRight w:val="0"/>
          <w:marTop w:val="0"/>
          <w:marBottom w:val="240"/>
          <w:divBdr>
            <w:top w:val="none" w:sz="0" w:space="0" w:color="auto"/>
            <w:left w:val="none" w:sz="0" w:space="0" w:color="auto"/>
            <w:bottom w:val="none" w:sz="0" w:space="0" w:color="auto"/>
            <w:right w:val="none" w:sz="0" w:space="0" w:color="auto"/>
          </w:divBdr>
        </w:div>
        <w:div w:id="1324262">
          <w:marLeft w:val="547"/>
          <w:marRight w:val="0"/>
          <w:marTop w:val="0"/>
          <w:marBottom w:val="240"/>
          <w:divBdr>
            <w:top w:val="none" w:sz="0" w:space="0" w:color="auto"/>
            <w:left w:val="none" w:sz="0" w:space="0" w:color="auto"/>
            <w:bottom w:val="none" w:sz="0" w:space="0" w:color="auto"/>
            <w:right w:val="none" w:sz="0" w:space="0" w:color="auto"/>
          </w:divBdr>
        </w:div>
      </w:divsChild>
    </w:div>
    <w:div w:id="1687293649">
      <w:bodyDiv w:val="1"/>
      <w:marLeft w:val="0"/>
      <w:marRight w:val="0"/>
      <w:marTop w:val="0"/>
      <w:marBottom w:val="0"/>
      <w:divBdr>
        <w:top w:val="none" w:sz="0" w:space="0" w:color="auto"/>
        <w:left w:val="none" w:sz="0" w:space="0" w:color="auto"/>
        <w:bottom w:val="none" w:sz="0" w:space="0" w:color="auto"/>
        <w:right w:val="none" w:sz="0" w:space="0" w:color="auto"/>
      </w:divBdr>
      <w:divsChild>
        <w:div w:id="1841457980">
          <w:marLeft w:val="547"/>
          <w:marRight w:val="0"/>
          <w:marTop w:val="0"/>
          <w:marBottom w:val="120"/>
          <w:divBdr>
            <w:top w:val="none" w:sz="0" w:space="0" w:color="auto"/>
            <w:left w:val="none" w:sz="0" w:space="0" w:color="auto"/>
            <w:bottom w:val="none" w:sz="0" w:space="0" w:color="auto"/>
            <w:right w:val="none" w:sz="0" w:space="0" w:color="auto"/>
          </w:divBdr>
        </w:div>
        <w:div w:id="1771967317">
          <w:marLeft w:val="1253"/>
          <w:marRight w:val="0"/>
          <w:marTop w:val="0"/>
          <w:marBottom w:val="120"/>
          <w:divBdr>
            <w:top w:val="none" w:sz="0" w:space="0" w:color="auto"/>
            <w:left w:val="none" w:sz="0" w:space="0" w:color="auto"/>
            <w:bottom w:val="none" w:sz="0" w:space="0" w:color="auto"/>
            <w:right w:val="none" w:sz="0" w:space="0" w:color="auto"/>
          </w:divBdr>
        </w:div>
        <w:div w:id="657462215">
          <w:marLeft w:val="1253"/>
          <w:marRight w:val="0"/>
          <w:marTop w:val="0"/>
          <w:marBottom w:val="120"/>
          <w:divBdr>
            <w:top w:val="none" w:sz="0" w:space="0" w:color="auto"/>
            <w:left w:val="none" w:sz="0" w:space="0" w:color="auto"/>
            <w:bottom w:val="none" w:sz="0" w:space="0" w:color="auto"/>
            <w:right w:val="none" w:sz="0" w:space="0" w:color="auto"/>
          </w:divBdr>
        </w:div>
        <w:div w:id="1445924696">
          <w:marLeft w:val="1253"/>
          <w:marRight w:val="0"/>
          <w:marTop w:val="0"/>
          <w:marBottom w:val="120"/>
          <w:divBdr>
            <w:top w:val="none" w:sz="0" w:space="0" w:color="auto"/>
            <w:left w:val="none" w:sz="0" w:space="0" w:color="auto"/>
            <w:bottom w:val="none" w:sz="0" w:space="0" w:color="auto"/>
            <w:right w:val="none" w:sz="0" w:space="0" w:color="auto"/>
          </w:divBdr>
        </w:div>
        <w:div w:id="483744620">
          <w:marLeft w:val="1253"/>
          <w:marRight w:val="0"/>
          <w:marTop w:val="0"/>
          <w:marBottom w:val="120"/>
          <w:divBdr>
            <w:top w:val="none" w:sz="0" w:space="0" w:color="auto"/>
            <w:left w:val="none" w:sz="0" w:space="0" w:color="auto"/>
            <w:bottom w:val="none" w:sz="0" w:space="0" w:color="auto"/>
            <w:right w:val="none" w:sz="0" w:space="0" w:color="auto"/>
          </w:divBdr>
        </w:div>
      </w:divsChild>
    </w:div>
    <w:div w:id="1765026432">
      <w:bodyDiv w:val="1"/>
      <w:marLeft w:val="0"/>
      <w:marRight w:val="0"/>
      <w:marTop w:val="0"/>
      <w:marBottom w:val="0"/>
      <w:divBdr>
        <w:top w:val="none" w:sz="0" w:space="0" w:color="auto"/>
        <w:left w:val="none" w:sz="0" w:space="0" w:color="auto"/>
        <w:bottom w:val="none" w:sz="0" w:space="0" w:color="auto"/>
        <w:right w:val="none" w:sz="0" w:space="0" w:color="auto"/>
      </w:divBdr>
    </w:div>
    <w:div w:id="1799643371">
      <w:bodyDiv w:val="1"/>
      <w:marLeft w:val="0"/>
      <w:marRight w:val="0"/>
      <w:marTop w:val="0"/>
      <w:marBottom w:val="0"/>
      <w:divBdr>
        <w:top w:val="none" w:sz="0" w:space="0" w:color="auto"/>
        <w:left w:val="none" w:sz="0" w:space="0" w:color="auto"/>
        <w:bottom w:val="none" w:sz="0" w:space="0" w:color="auto"/>
        <w:right w:val="none" w:sz="0" w:space="0" w:color="auto"/>
      </w:divBdr>
      <w:divsChild>
        <w:div w:id="1781338752">
          <w:marLeft w:val="547"/>
          <w:marRight w:val="0"/>
          <w:marTop w:val="0"/>
          <w:marBottom w:val="240"/>
          <w:divBdr>
            <w:top w:val="none" w:sz="0" w:space="0" w:color="auto"/>
            <w:left w:val="none" w:sz="0" w:space="0" w:color="auto"/>
            <w:bottom w:val="none" w:sz="0" w:space="0" w:color="auto"/>
            <w:right w:val="none" w:sz="0" w:space="0" w:color="auto"/>
          </w:divBdr>
        </w:div>
        <w:div w:id="344285547">
          <w:marLeft w:val="547"/>
          <w:marRight w:val="0"/>
          <w:marTop w:val="0"/>
          <w:marBottom w:val="240"/>
          <w:divBdr>
            <w:top w:val="none" w:sz="0" w:space="0" w:color="auto"/>
            <w:left w:val="none" w:sz="0" w:space="0" w:color="auto"/>
            <w:bottom w:val="none" w:sz="0" w:space="0" w:color="auto"/>
            <w:right w:val="none" w:sz="0" w:space="0" w:color="auto"/>
          </w:divBdr>
        </w:div>
        <w:div w:id="1921595586">
          <w:marLeft w:val="547"/>
          <w:marRight w:val="0"/>
          <w:marTop w:val="0"/>
          <w:marBottom w:val="240"/>
          <w:divBdr>
            <w:top w:val="none" w:sz="0" w:space="0" w:color="auto"/>
            <w:left w:val="none" w:sz="0" w:space="0" w:color="auto"/>
            <w:bottom w:val="none" w:sz="0" w:space="0" w:color="auto"/>
            <w:right w:val="none" w:sz="0" w:space="0" w:color="auto"/>
          </w:divBdr>
        </w:div>
        <w:div w:id="278144220">
          <w:marLeft w:val="547"/>
          <w:marRight w:val="0"/>
          <w:marTop w:val="0"/>
          <w:marBottom w:val="240"/>
          <w:divBdr>
            <w:top w:val="none" w:sz="0" w:space="0" w:color="auto"/>
            <w:left w:val="none" w:sz="0" w:space="0" w:color="auto"/>
            <w:bottom w:val="none" w:sz="0" w:space="0" w:color="auto"/>
            <w:right w:val="none" w:sz="0" w:space="0" w:color="auto"/>
          </w:divBdr>
        </w:div>
        <w:div w:id="1476070798">
          <w:marLeft w:val="547"/>
          <w:marRight w:val="0"/>
          <w:marTop w:val="0"/>
          <w:marBottom w:val="240"/>
          <w:divBdr>
            <w:top w:val="none" w:sz="0" w:space="0" w:color="auto"/>
            <w:left w:val="none" w:sz="0" w:space="0" w:color="auto"/>
            <w:bottom w:val="none" w:sz="0" w:space="0" w:color="auto"/>
            <w:right w:val="none" w:sz="0" w:space="0" w:color="auto"/>
          </w:divBdr>
        </w:div>
        <w:div w:id="925185360">
          <w:marLeft w:val="547"/>
          <w:marRight w:val="0"/>
          <w:marTop w:val="0"/>
          <w:marBottom w:val="240"/>
          <w:divBdr>
            <w:top w:val="none" w:sz="0" w:space="0" w:color="auto"/>
            <w:left w:val="none" w:sz="0" w:space="0" w:color="auto"/>
            <w:bottom w:val="none" w:sz="0" w:space="0" w:color="auto"/>
            <w:right w:val="none" w:sz="0" w:space="0" w:color="auto"/>
          </w:divBdr>
        </w:div>
        <w:div w:id="440035682">
          <w:marLeft w:val="547"/>
          <w:marRight w:val="0"/>
          <w:marTop w:val="0"/>
          <w:marBottom w:val="240"/>
          <w:divBdr>
            <w:top w:val="none" w:sz="0" w:space="0" w:color="auto"/>
            <w:left w:val="none" w:sz="0" w:space="0" w:color="auto"/>
            <w:bottom w:val="none" w:sz="0" w:space="0" w:color="auto"/>
            <w:right w:val="none" w:sz="0" w:space="0" w:color="auto"/>
          </w:divBdr>
        </w:div>
      </w:divsChild>
    </w:div>
    <w:div w:id="1999457656">
      <w:bodyDiv w:val="1"/>
      <w:marLeft w:val="0"/>
      <w:marRight w:val="0"/>
      <w:marTop w:val="0"/>
      <w:marBottom w:val="0"/>
      <w:divBdr>
        <w:top w:val="none" w:sz="0" w:space="0" w:color="auto"/>
        <w:left w:val="none" w:sz="0" w:space="0" w:color="auto"/>
        <w:bottom w:val="none" w:sz="0" w:space="0" w:color="auto"/>
        <w:right w:val="none" w:sz="0" w:space="0" w:color="auto"/>
      </w:divBdr>
      <w:divsChild>
        <w:div w:id="400761444">
          <w:marLeft w:val="547"/>
          <w:marRight w:val="0"/>
          <w:marTop w:val="91"/>
          <w:marBottom w:val="0"/>
          <w:divBdr>
            <w:top w:val="none" w:sz="0" w:space="0" w:color="auto"/>
            <w:left w:val="none" w:sz="0" w:space="0" w:color="auto"/>
            <w:bottom w:val="none" w:sz="0" w:space="0" w:color="auto"/>
            <w:right w:val="none" w:sz="0" w:space="0" w:color="auto"/>
          </w:divBdr>
        </w:div>
        <w:div w:id="1964456391">
          <w:marLeft w:val="547"/>
          <w:marRight w:val="0"/>
          <w:marTop w:val="91"/>
          <w:marBottom w:val="0"/>
          <w:divBdr>
            <w:top w:val="none" w:sz="0" w:space="0" w:color="auto"/>
            <w:left w:val="none" w:sz="0" w:space="0" w:color="auto"/>
            <w:bottom w:val="none" w:sz="0" w:space="0" w:color="auto"/>
            <w:right w:val="none" w:sz="0" w:space="0" w:color="auto"/>
          </w:divBdr>
        </w:div>
        <w:div w:id="1288046588">
          <w:marLeft w:val="547"/>
          <w:marRight w:val="0"/>
          <w:marTop w:val="91"/>
          <w:marBottom w:val="0"/>
          <w:divBdr>
            <w:top w:val="none" w:sz="0" w:space="0" w:color="auto"/>
            <w:left w:val="none" w:sz="0" w:space="0" w:color="auto"/>
            <w:bottom w:val="none" w:sz="0" w:space="0" w:color="auto"/>
            <w:right w:val="none" w:sz="0" w:space="0" w:color="auto"/>
          </w:divBdr>
        </w:div>
        <w:div w:id="1553037864">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2373</Words>
  <Characters>13700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16041</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2017-10-31T15:43:00Z</dcterms:created>
  <dcterms:modified xsi:type="dcterms:W3CDTF">2017-10-31T15:43:00Z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2113758999</vt:i4>
  </property>
  <property fmtid="{D5CDD505-2E9C-101B-9397-08002B2CF9AE}" pid="4" name="_EmailSubject">
    <vt:lpwstr>GSSM22 Key Note Presentation: Thank You</vt:lpwstr>
  </property>
  <property fmtid="{D5CDD505-2E9C-101B-9397-08002B2CF9AE}" pid="5" name="_AuthorEmail">
    <vt:lpwstr>P.W.Smith@soton.ac.uk</vt:lpwstr>
  </property>
  <property fmtid="{D5CDD505-2E9C-101B-9397-08002B2CF9AE}" pid="6" name="_AuthorEmailDisplayName">
    <vt:lpwstr>Smith P.W.</vt:lpwstr>
  </property>
  <property fmtid="{D5CDD505-2E9C-101B-9397-08002B2CF9AE}" pid="7" name="_ReviewingToolsShownOnce">
    <vt:lpwstr/>
  </property>
</Properties>
</file>