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410" w:rsidRPr="00D16410" w:rsidRDefault="00D16410" w:rsidP="00D16410">
      <w:pPr>
        <w:rPr>
          <w:rFonts w:ascii="Arial" w:hAnsi="Arial" w:cs="Arial"/>
          <w:b/>
          <w:sz w:val="24"/>
        </w:rPr>
      </w:pPr>
      <w:r w:rsidRPr="00D16410">
        <w:rPr>
          <w:rFonts w:ascii="Arial" w:hAnsi="Arial" w:cs="Arial"/>
          <w:b/>
          <w:sz w:val="24"/>
        </w:rPr>
        <w:t xml:space="preserve">SOC2010 Revision: </w:t>
      </w:r>
      <w:r>
        <w:rPr>
          <w:rFonts w:ascii="Arial" w:hAnsi="Arial" w:cs="Arial"/>
          <w:b/>
          <w:sz w:val="24"/>
        </w:rPr>
        <w:t xml:space="preserve">Reversion of the </w:t>
      </w:r>
      <w:r w:rsidR="00FE2A4A">
        <w:rPr>
          <w:rFonts w:ascii="Arial" w:hAnsi="Arial" w:cs="Arial"/>
          <w:b/>
          <w:sz w:val="24"/>
        </w:rPr>
        <w:t xml:space="preserve">proposed </w:t>
      </w:r>
      <w:r>
        <w:rPr>
          <w:rFonts w:ascii="Arial" w:hAnsi="Arial" w:cs="Arial"/>
          <w:b/>
          <w:sz w:val="24"/>
        </w:rPr>
        <w:t xml:space="preserve">creation of a new </w:t>
      </w:r>
      <w:r w:rsidR="00FE2A4A">
        <w:rPr>
          <w:rFonts w:ascii="Arial" w:hAnsi="Arial" w:cs="Arial"/>
          <w:b/>
          <w:sz w:val="24"/>
        </w:rPr>
        <w:t xml:space="preserve">unit </w:t>
      </w:r>
      <w:r w:rsidR="007C2346">
        <w:rPr>
          <w:rFonts w:ascii="Arial" w:hAnsi="Arial" w:cs="Arial"/>
          <w:b/>
          <w:sz w:val="24"/>
        </w:rPr>
        <w:t>group in Major G</w:t>
      </w:r>
      <w:bookmarkStart w:id="0" w:name="_GoBack"/>
      <w:bookmarkEnd w:id="0"/>
      <w:r>
        <w:rPr>
          <w:rFonts w:ascii="Arial" w:hAnsi="Arial" w:cs="Arial"/>
          <w:b/>
          <w:sz w:val="24"/>
        </w:rPr>
        <w:t xml:space="preserve">roup 2 for </w:t>
      </w:r>
      <w:r w:rsidR="007C2346">
        <w:rPr>
          <w:rFonts w:ascii="Arial" w:hAnsi="Arial" w:cs="Arial"/>
          <w:b/>
          <w:sz w:val="24"/>
        </w:rPr>
        <w:t>‘</w:t>
      </w:r>
      <w:r>
        <w:rPr>
          <w:rFonts w:ascii="Arial" w:hAnsi="Arial" w:cs="Arial"/>
          <w:b/>
          <w:sz w:val="24"/>
        </w:rPr>
        <w:t>Laboratory professionals</w:t>
      </w:r>
      <w:r w:rsidR="007C2346">
        <w:rPr>
          <w:rFonts w:ascii="Arial" w:hAnsi="Arial" w:cs="Arial"/>
          <w:b/>
          <w:sz w:val="24"/>
        </w:rPr>
        <w:t>’</w:t>
      </w:r>
    </w:p>
    <w:p w:rsidR="00D16410" w:rsidRPr="00D16410" w:rsidRDefault="00D16410" w:rsidP="00D16410">
      <w:pPr>
        <w:rPr>
          <w:rFonts w:ascii="Arial" w:hAnsi="Arial" w:cs="Arial"/>
          <w:b/>
          <w:sz w:val="24"/>
        </w:rPr>
      </w:pPr>
    </w:p>
    <w:p w:rsidR="00D16410" w:rsidRPr="00D16410" w:rsidRDefault="00D16410" w:rsidP="00D16410">
      <w:pPr>
        <w:rPr>
          <w:rFonts w:ascii="Arial" w:hAnsi="Arial" w:cs="Arial"/>
          <w:sz w:val="24"/>
        </w:rPr>
      </w:pPr>
      <w:r w:rsidRPr="00D16410">
        <w:rPr>
          <w:rFonts w:ascii="Arial" w:hAnsi="Arial" w:cs="Arial"/>
          <w:sz w:val="24"/>
        </w:rPr>
        <w:t xml:space="preserve">SOC Revision Working Group Proposals </w:t>
      </w:r>
    </w:p>
    <w:p w:rsidR="00D16410" w:rsidRDefault="00D16410" w:rsidP="00D16410">
      <w:pPr>
        <w:rPr>
          <w:rFonts w:ascii="Arial" w:hAnsi="Arial" w:cs="Arial"/>
        </w:rPr>
      </w:pPr>
    </w:p>
    <w:p w:rsidR="00D16410" w:rsidRDefault="00D16410" w:rsidP="00D16410">
      <w:pPr>
        <w:rPr>
          <w:rFonts w:ascii="Arial" w:hAnsi="Arial" w:cs="Arial"/>
        </w:rPr>
      </w:pPr>
      <w:r>
        <w:rPr>
          <w:rFonts w:ascii="Arial" w:hAnsi="Arial" w:cs="Arial"/>
        </w:rPr>
        <w:t>Regarding the following change that was reported in March 2018:</w:t>
      </w:r>
    </w:p>
    <w:p w:rsidR="00D16410" w:rsidRDefault="00D16410" w:rsidP="00D16410">
      <w:pPr>
        <w:rPr>
          <w:rFonts w:ascii="Arial" w:hAnsi="Arial" w:cs="Arial"/>
        </w:rPr>
      </w:pPr>
    </w:p>
    <w:p w:rsidR="00D16410" w:rsidRDefault="00D16410" w:rsidP="00D16410">
      <w:pPr>
        <w:jc w:val="both"/>
        <w:rPr>
          <w:rFonts w:ascii="Arial" w:hAnsi="Arial" w:cs="Arial"/>
        </w:rPr>
      </w:pPr>
      <w:r>
        <w:rPr>
          <w:rFonts w:ascii="Arial" w:hAnsi="Arial" w:cs="Arial"/>
          <w:b/>
          <w:bCs/>
        </w:rPr>
        <w:t>Issue 6:</w:t>
      </w:r>
      <w:r>
        <w:rPr>
          <w:rFonts w:ascii="Arial" w:hAnsi="Arial" w:cs="Arial"/>
        </w:rPr>
        <w:t xml:space="preserve"> Are the job titles that code to ‘Laboratory technicians’ (3111) appropriately coded to major group 3?</w:t>
      </w:r>
    </w:p>
    <w:p w:rsidR="00D16410" w:rsidRDefault="00D16410" w:rsidP="00D16410">
      <w:pPr>
        <w:jc w:val="both"/>
        <w:rPr>
          <w:rFonts w:ascii="Arial" w:hAnsi="Arial" w:cs="Arial"/>
        </w:rPr>
      </w:pPr>
      <w:r>
        <w:rPr>
          <w:rFonts w:ascii="Arial" w:hAnsi="Arial" w:cs="Arial"/>
        </w:rPr>
        <w:t>A review was conducted of existing index entries for this group. The aim of the review was to ensure that all professional level technicians currently coding to 3111 be repositioned, leaving associate professional level technicians as the core of unit group 3111. A new unit group will be created in major group 2 for ‘Laboratory professionals’.</w:t>
      </w:r>
    </w:p>
    <w:p w:rsidR="00D16410" w:rsidRDefault="00D16410" w:rsidP="00D16410">
      <w:pPr>
        <w:jc w:val="both"/>
        <w:rPr>
          <w:rFonts w:ascii="Arial" w:hAnsi="Arial" w:cs="Arial"/>
        </w:rPr>
      </w:pPr>
    </w:p>
    <w:p w:rsidR="00D16410" w:rsidRDefault="00D16410" w:rsidP="00D16410">
      <w:pPr>
        <w:jc w:val="both"/>
        <w:rPr>
          <w:rFonts w:ascii="Arial" w:hAnsi="Arial" w:cs="Arial"/>
          <w:b/>
          <w:bCs/>
        </w:rPr>
      </w:pPr>
      <w:r>
        <w:rPr>
          <w:rFonts w:ascii="Arial" w:hAnsi="Arial" w:cs="Arial"/>
          <w:b/>
          <w:bCs/>
        </w:rPr>
        <w:t>Proposal:</w:t>
      </w:r>
    </w:p>
    <w:p w:rsidR="00D16410" w:rsidRDefault="00D16410" w:rsidP="00D16410">
      <w:pPr>
        <w:numPr>
          <w:ilvl w:val="0"/>
          <w:numId w:val="1"/>
        </w:numPr>
        <w:contextualSpacing/>
        <w:jc w:val="both"/>
        <w:rPr>
          <w:rFonts w:ascii="Arial" w:eastAsia="Times New Roman" w:hAnsi="Arial" w:cs="Arial"/>
          <w:lang w:eastAsia="en-GB"/>
        </w:rPr>
      </w:pPr>
      <w:r>
        <w:rPr>
          <w:rFonts w:ascii="Arial" w:eastAsia="Times New Roman" w:hAnsi="Arial" w:cs="Arial"/>
          <w:lang w:eastAsia="en-GB"/>
        </w:rPr>
        <w:t>Create a new SOC2020 group ‘Laboratory professionals’ (</w:t>
      </w:r>
      <w:r>
        <w:rPr>
          <w:rFonts w:ascii="Arial" w:eastAsia="Times New Roman" w:hAnsi="Arial" w:cs="Arial"/>
          <w:color w:val="00B050"/>
          <w:lang w:eastAsia="en-GB"/>
        </w:rPr>
        <w:t>2116</w:t>
      </w:r>
      <w:r>
        <w:rPr>
          <w:rFonts w:ascii="Arial" w:eastAsia="Times New Roman" w:hAnsi="Arial" w:cs="Arial"/>
          <w:lang w:eastAsia="en-GB"/>
        </w:rPr>
        <w:t>), to sit in minor group 211 ‘Natural and Social Science Professionals’.</w:t>
      </w:r>
    </w:p>
    <w:p w:rsidR="00D16410" w:rsidRDefault="00D16410" w:rsidP="00D16410">
      <w:pPr>
        <w:jc w:val="both"/>
      </w:pPr>
    </w:p>
    <w:p w:rsidR="00B46BC9" w:rsidRPr="00B46BC9" w:rsidRDefault="00B46BC9" w:rsidP="00D16410">
      <w:pPr>
        <w:jc w:val="both"/>
        <w:rPr>
          <w:rFonts w:ascii="Arial" w:hAnsi="Arial" w:cs="Arial"/>
          <w:b/>
          <w:bCs/>
        </w:rPr>
      </w:pPr>
      <w:r w:rsidRPr="00B46BC9">
        <w:rPr>
          <w:rFonts w:ascii="Arial" w:hAnsi="Arial" w:cs="Arial"/>
          <w:b/>
          <w:bCs/>
        </w:rPr>
        <w:t>Update to proposal</w:t>
      </w:r>
      <w:r>
        <w:rPr>
          <w:rFonts w:ascii="Arial" w:hAnsi="Arial" w:cs="Arial"/>
          <w:b/>
          <w:bCs/>
        </w:rPr>
        <w:t>:</w:t>
      </w:r>
    </w:p>
    <w:p w:rsidR="00B46BC9" w:rsidRDefault="00D16410" w:rsidP="00D16410">
      <w:pPr>
        <w:jc w:val="both"/>
        <w:rPr>
          <w:rFonts w:ascii="Arial" w:hAnsi="Arial" w:cs="Arial"/>
        </w:rPr>
      </w:pPr>
      <w:r>
        <w:rPr>
          <w:rFonts w:ascii="Arial" w:hAnsi="Arial" w:cs="Arial"/>
        </w:rPr>
        <w:t xml:space="preserve">Due to stakeholder feedback and additional research conducted, the decision to create a distinct unit group for Laboratory professionals’ in major group 2 has been reverted. </w:t>
      </w:r>
      <w:bookmarkStart w:id="1" w:name="_Hlk521668836"/>
    </w:p>
    <w:p w:rsidR="00B46BC9" w:rsidRDefault="00B46BC9" w:rsidP="00D16410">
      <w:pPr>
        <w:jc w:val="both"/>
        <w:rPr>
          <w:rFonts w:ascii="Arial" w:hAnsi="Arial" w:cs="Arial"/>
        </w:rPr>
      </w:pPr>
    </w:p>
    <w:p w:rsidR="005006F1" w:rsidRDefault="00D16410" w:rsidP="00D16410">
      <w:pPr>
        <w:jc w:val="both"/>
        <w:rPr>
          <w:rFonts w:ascii="Arial" w:hAnsi="Arial" w:cs="Arial"/>
        </w:rPr>
      </w:pPr>
      <w:r>
        <w:rPr>
          <w:rFonts w:ascii="Arial" w:hAnsi="Arial" w:cs="Arial"/>
        </w:rPr>
        <w:t>Some existing index entries that currently code to Laboratory technicians (3111) will be coded to appropriate unit groups in major group 2</w:t>
      </w:r>
      <w:bookmarkEnd w:id="1"/>
      <w:r>
        <w:rPr>
          <w:rFonts w:ascii="Arial" w:hAnsi="Arial" w:cs="Arial"/>
        </w:rPr>
        <w:t>.</w:t>
      </w:r>
      <w:r w:rsidR="00804C79">
        <w:rPr>
          <w:rFonts w:ascii="Arial" w:hAnsi="Arial" w:cs="Arial"/>
        </w:rPr>
        <w:t xml:space="preserve"> </w:t>
      </w:r>
      <w:bookmarkStart w:id="2" w:name="_Hlk521668816"/>
      <w:r w:rsidR="00804C79">
        <w:rPr>
          <w:rFonts w:ascii="Arial" w:hAnsi="Arial" w:cs="Arial"/>
        </w:rPr>
        <w:t xml:space="preserve">These have been noted in </w:t>
      </w:r>
      <w:r w:rsidR="00B46BC9">
        <w:rPr>
          <w:rFonts w:ascii="Arial" w:hAnsi="Arial" w:cs="Arial"/>
        </w:rPr>
        <w:t xml:space="preserve">the revised structure in the </w:t>
      </w:r>
      <w:r w:rsidR="00DF1005">
        <w:rPr>
          <w:rFonts w:ascii="Arial" w:hAnsi="Arial" w:cs="Arial"/>
        </w:rPr>
        <w:t>changes</w:t>
      </w:r>
      <w:r w:rsidR="00B46BC9">
        <w:rPr>
          <w:rFonts w:ascii="Arial" w:hAnsi="Arial" w:cs="Arial"/>
        </w:rPr>
        <w:t xml:space="preserve"> column</w:t>
      </w:r>
      <w:r w:rsidR="00F03B27">
        <w:rPr>
          <w:rFonts w:ascii="Arial" w:hAnsi="Arial" w:cs="Arial"/>
        </w:rPr>
        <w:t xml:space="preserve"> in blue</w:t>
      </w:r>
      <w:r w:rsidR="00B46BC9">
        <w:rPr>
          <w:rFonts w:ascii="Arial" w:hAnsi="Arial" w:cs="Arial"/>
        </w:rPr>
        <w:t>.</w:t>
      </w:r>
    </w:p>
    <w:p w:rsidR="00804C79" w:rsidRDefault="00804C79" w:rsidP="00D16410">
      <w:pPr>
        <w:jc w:val="both"/>
        <w:rPr>
          <w:rFonts w:ascii="Arial" w:hAnsi="Arial" w:cs="Arial"/>
        </w:rPr>
      </w:pPr>
    </w:p>
    <w:p w:rsidR="00804C79" w:rsidRDefault="00804C79" w:rsidP="00D16410">
      <w:pPr>
        <w:jc w:val="both"/>
        <w:rPr>
          <w:rFonts w:ascii="Arial" w:hAnsi="Arial" w:cs="Arial"/>
        </w:rPr>
      </w:pPr>
      <w:r>
        <w:rPr>
          <w:rFonts w:ascii="Arial" w:hAnsi="Arial" w:cs="Arial"/>
        </w:rPr>
        <w:t>Note that minor group 311 and unit group 3111 will revert to their original names</w:t>
      </w:r>
    </w:p>
    <w:p w:rsidR="00804C79" w:rsidRDefault="00804C79" w:rsidP="00D16410">
      <w:pPr>
        <w:jc w:val="both"/>
        <w:rPr>
          <w:rFonts w:ascii="Arial" w:hAnsi="Arial" w:cs="Arial"/>
        </w:rPr>
      </w:pPr>
    </w:p>
    <w:tbl>
      <w:tblPr>
        <w:tblW w:w="9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5" w:type="dxa"/>
          <w:bottom w:w="15" w:type="dxa"/>
        </w:tblCellMar>
        <w:tblLook w:val="04A0" w:firstRow="1" w:lastRow="0" w:firstColumn="1" w:lastColumn="0" w:noHBand="0" w:noVBand="1"/>
      </w:tblPr>
      <w:tblGrid>
        <w:gridCol w:w="840"/>
        <w:gridCol w:w="920"/>
        <w:gridCol w:w="3055"/>
        <w:gridCol w:w="4678"/>
      </w:tblGrid>
      <w:tr w:rsidR="00804C79" w:rsidRPr="00804C79" w:rsidTr="00804C79">
        <w:trPr>
          <w:trHeight w:val="761"/>
        </w:trPr>
        <w:tc>
          <w:tcPr>
            <w:tcW w:w="840" w:type="dxa"/>
            <w:hideMark/>
          </w:tcPr>
          <w:p w:rsidR="00804C79" w:rsidRPr="00804C79" w:rsidRDefault="00804C79" w:rsidP="00804C79">
            <w:pPr>
              <w:rPr>
                <w:rFonts w:ascii="Arial" w:eastAsia="Times New Roman" w:hAnsi="Arial" w:cs="Arial"/>
                <w:b/>
                <w:bCs/>
                <w:sz w:val="20"/>
                <w:szCs w:val="20"/>
                <w:lang w:eastAsia="en-GB"/>
              </w:rPr>
            </w:pPr>
            <w:r w:rsidRPr="00804C79">
              <w:rPr>
                <w:rFonts w:ascii="Arial" w:eastAsia="Times New Roman" w:hAnsi="Arial" w:cs="Arial"/>
                <w:b/>
                <w:bCs/>
                <w:sz w:val="20"/>
                <w:szCs w:val="20"/>
                <w:lang w:eastAsia="en-GB"/>
              </w:rPr>
              <w:t>SOC</w:t>
            </w:r>
            <w:r w:rsidRPr="00804C79">
              <w:rPr>
                <w:rFonts w:ascii="Arial" w:eastAsia="Times New Roman" w:hAnsi="Arial" w:cs="Arial"/>
                <w:b/>
                <w:bCs/>
                <w:sz w:val="20"/>
                <w:szCs w:val="20"/>
                <w:lang w:eastAsia="en-GB"/>
              </w:rPr>
              <w:br/>
              <w:t>2020 Minor Group</w:t>
            </w:r>
          </w:p>
        </w:tc>
        <w:tc>
          <w:tcPr>
            <w:tcW w:w="920" w:type="dxa"/>
            <w:hideMark/>
          </w:tcPr>
          <w:p w:rsidR="00804C79" w:rsidRPr="00804C79" w:rsidRDefault="00804C79" w:rsidP="00804C79">
            <w:pPr>
              <w:rPr>
                <w:rFonts w:ascii="Arial" w:eastAsia="Times New Roman" w:hAnsi="Arial" w:cs="Arial"/>
                <w:b/>
                <w:bCs/>
                <w:sz w:val="20"/>
                <w:szCs w:val="20"/>
                <w:lang w:eastAsia="en-GB"/>
              </w:rPr>
            </w:pPr>
            <w:r w:rsidRPr="00804C79">
              <w:rPr>
                <w:rFonts w:ascii="Arial" w:eastAsia="Times New Roman" w:hAnsi="Arial" w:cs="Arial"/>
                <w:b/>
                <w:bCs/>
                <w:sz w:val="20"/>
                <w:szCs w:val="20"/>
                <w:lang w:eastAsia="en-GB"/>
              </w:rPr>
              <w:t>SOC</w:t>
            </w:r>
            <w:r w:rsidRPr="00804C79">
              <w:rPr>
                <w:rFonts w:ascii="Arial" w:eastAsia="Times New Roman" w:hAnsi="Arial" w:cs="Arial"/>
                <w:b/>
                <w:bCs/>
                <w:sz w:val="20"/>
                <w:szCs w:val="20"/>
                <w:lang w:eastAsia="en-GB"/>
              </w:rPr>
              <w:br/>
              <w:t>2020 Unit Group</w:t>
            </w:r>
          </w:p>
        </w:tc>
        <w:tc>
          <w:tcPr>
            <w:tcW w:w="3055" w:type="dxa"/>
            <w:hideMark/>
          </w:tcPr>
          <w:p w:rsidR="00804C79" w:rsidRPr="00804C79" w:rsidRDefault="00804C79" w:rsidP="00804C79">
            <w:pPr>
              <w:rPr>
                <w:rFonts w:ascii="Arial" w:eastAsia="Times New Roman" w:hAnsi="Arial" w:cs="Arial"/>
                <w:b/>
                <w:bCs/>
                <w:sz w:val="20"/>
                <w:szCs w:val="20"/>
                <w:lang w:eastAsia="en-GB"/>
              </w:rPr>
            </w:pPr>
            <w:r w:rsidRPr="00804C79">
              <w:rPr>
                <w:rFonts w:ascii="Arial" w:eastAsia="Times New Roman" w:hAnsi="Arial" w:cs="Arial"/>
                <w:b/>
                <w:bCs/>
                <w:sz w:val="20"/>
                <w:szCs w:val="20"/>
                <w:lang w:eastAsia="en-GB"/>
              </w:rPr>
              <w:t>Group Title</w:t>
            </w:r>
          </w:p>
        </w:tc>
        <w:tc>
          <w:tcPr>
            <w:tcW w:w="4678" w:type="dxa"/>
            <w:hideMark/>
          </w:tcPr>
          <w:p w:rsidR="00804C79" w:rsidRPr="00804C79" w:rsidRDefault="00804C79" w:rsidP="00804C79">
            <w:pPr>
              <w:rPr>
                <w:rFonts w:ascii="Arial" w:eastAsia="Times New Roman" w:hAnsi="Arial" w:cs="Arial"/>
                <w:b/>
                <w:bCs/>
                <w:sz w:val="20"/>
                <w:szCs w:val="20"/>
                <w:lang w:eastAsia="en-GB"/>
              </w:rPr>
            </w:pPr>
            <w:r w:rsidRPr="00804C79">
              <w:rPr>
                <w:rFonts w:ascii="Arial" w:eastAsia="Times New Roman" w:hAnsi="Arial" w:cs="Arial"/>
                <w:b/>
                <w:bCs/>
                <w:sz w:val="20"/>
                <w:szCs w:val="20"/>
                <w:lang w:eastAsia="en-GB"/>
              </w:rPr>
              <w:t>Changes</w:t>
            </w:r>
          </w:p>
        </w:tc>
      </w:tr>
      <w:tr w:rsidR="00804C79" w:rsidRPr="00804C79" w:rsidTr="00804C79">
        <w:trPr>
          <w:trHeight w:val="528"/>
        </w:trPr>
        <w:tc>
          <w:tcPr>
            <w:tcW w:w="840" w:type="dxa"/>
            <w:hideMark/>
          </w:tcPr>
          <w:p w:rsidR="00804C79" w:rsidRPr="00804C79" w:rsidRDefault="00804C79" w:rsidP="00804C79">
            <w:pPr>
              <w:rPr>
                <w:rFonts w:ascii="Arial" w:eastAsia="Times New Roman" w:hAnsi="Arial" w:cs="Arial"/>
                <w:b/>
                <w:bCs/>
                <w:sz w:val="20"/>
                <w:szCs w:val="20"/>
                <w:lang w:eastAsia="en-GB"/>
              </w:rPr>
            </w:pPr>
            <w:r w:rsidRPr="00804C79">
              <w:rPr>
                <w:rFonts w:ascii="Arial" w:eastAsia="Times New Roman" w:hAnsi="Arial" w:cs="Arial"/>
                <w:b/>
                <w:bCs/>
                <w:sz w:val="20"/>
                <w:szCs w:val="20"/>
                <w:lang w:eastAsia="en-GB"/>
              </w:rPr>
              <w:t>311</w:t>
            </w:r>
          </w:p>
        </w:tc>
        <w:tc>
          <w:tcPr>
            <w:tcW w:w="920" w:type="dxa"/>
            <w:hideMark/>
          </w:tcPr>
          <w:p w:rsidR="00804C79" w:rsidRPr="00804C79" w:rsidRDefault="00804C79" w:rsidP="00804C79">
            <w:pPr>
              <w:rPr>
                <w:rFonts w:ascii="Arial" w:eastAsia="Times New Roman" w:hAnsi="Arial" w:cs="Arial"/>
                <w:b/>
                <w:bCs/>
                <w:sz w:val="20"/>
                <w:szCs w:val="20"/>
                <w:lang w:eastAsia="en-GB"/>
              </w:rPr>
            </w:pPr>
          </w:p>
        </w:tc>
        <w:tc>
          <w:tcPr>
            <w:tcW w:w="3055" w:type="dxa"/>
            <w:hideMark/>
          </w:tcPr>
          <w:p w:rsidR="00804C79" w:rsidRPr="00804C79" w:rsidRDefault="00804C79" w:rsidP="00804C79">
            <w:pPr>
              <w:rPr>
                <w:rFonts w:ascii="Arial" w:eastAsia="Times New Roman" w:hAnsi="Arial" w:cs="Arial"/>
                <w:b/>
                <w:bCs/>
                <w:sz w:val="20"/>
                <w:szCs w:val="20"/>
                <w:lang w:eastAsia="en-GB"/>
              </w:rPr>
            </w:pPr>
            <w:r w:rsidRPr="00804C79">
              <w:rPr>
                <w:rFonts w:ascii="Arial" w:eastAsia="Times New Roman" w:hAnsi="Arial" w:cs="Arial"/>
                <w:b/>
                <w:bCs/>
                <w:sz w:val="20"/>
                <w:szCs w:val="20"/>
                <w:lang w:eastAsia="en-GB"/>
              </w:rPr>
              <w:t xml:space="preserve">Science, Engineering and Production Technicians </w:t>
            </w:r>
            <w:r w:rsidRPr="00B46BC9">
              <w:rPr>
                <w:rFonts w:ascii="Arial" w:eastAsia="Times New Roman" w:hAnsi="Arial" w:cs="Arial"/>
                <w:b/>
                <w:bCs/>
                <w:strike/>
                <w:color w:val="FF0000"/>
                <w:sz w:val="20"/>
                <w:szCs w:val="20"/>
                <w:lang w:eastAsia="en-GB"/>
              </w:rPr>
              <w:t>and Associate Professionals</w:t>
            </w:r>
          </w:p>
        </w:tc>
        <w:tc>
          <w:tcPr>
            <w:tcW w:w="4678" w:type="dxa"/>
            <w:hideMark/>
          </w:tcPr>
          <w:p w:rsidR="00804C79" w:rsidRPr="00804C79" w:rsidRDefault="00804C79" w:rsidP="00804C79">
            <w:pPr>
              <w:rPr>
                <w:rFonts w:ascii="Arial" w:eastAsia="Times New Roman" w:hAnsi="Arial" w:cs="Arial"/>
                <w:sz w:val="20"/>
                <w:szCs w:val="20"/>
                <w:lang w:eastAsia="en-GB"/>
              </w:rPr>
            </w:pPr>
            <w:r w:rsidRPr="00804C79">
              <w:rPr>
                <w:rFonts w:ascii="Arial" w:eastAsia="Times New Roman" w:hAnsi="Arial" w:cs="Arial"/>
                <w:sz w:val="20"/>
                <w:szCs w:val="20"/>
                <w:lang w:eastAsia="en-GB"/>
              </w:rPr>
              <w:t>Revert to original minor group name</w:t>
            </w:r>
          </w:p>
        </w:tc>
      </w:tr>
      <w:tr w:rsidR="00804C79" w:rsidRPr="00804C79" w:rsidTr="00804C79">
        <w:trPr>
          <w:trHeight w:val="73"/>
        </w:trPr>
        <w:tc>
          <w:tcPr>
            <w:tcW w:w="840" w:type="dxa"/>
            <w:hideMark/>
          </w:tcPr>
          <w:p w:rsidR="00804C79" w:rsidRPr="00804C79" w:rsidRDefault="00804C79" w:rsidP="00804C79">
            <w:pPr>
              <w:rPr>
                <w:rFonts w:ascii="Arial" w:eastAsia="Times New Roman" w:hAnsi="Arial" w:cs="Arial"/>
                <w:sz w:val="20"/>
                <w:szCs w:val="20"/>
                <w:lang w:eastAsia="en-GB"/>
              </w:rPr>
            </w:pPr>
          </w:p>
        </w:tc>
        <w:tc>
          <w:tcPr>
            <w:tcW w:w="920" w:type="dxa"/>
            <w:hideMark/>
          </w:tcPr>
          <w:p w:rsidR="00804C79" w:rsidRPr="00804C79" w:rsidRDefault="00804C79" w:rsidP="00804C79">
            <w:pPr>
              <w:rPr>
                <w:rFonts w:ascii="Times New Roman" w:eastAsia="Times New Roman" w:hAnsi="Times New Roman" w:cs="Times New Roman"/>
                <w:sz w:val="20"/>
                <w:szCs w:val="20"/>
                <w:lang w:eastAsia="en-GB"/>
              </w:rPr>
            </w:pPr>
          </w:p>
        </w:tc>
        <w:tc>
          <w:tcPr>
            <w:tcW w:w="3055" w:type="dxa"/>
            <w:hideMark/>
          </w:tcPr>
          <w:p w:rsidR="00804C79" w:rsidRPr="00804C79" w:rsidRDefault="00804C79" w:rsidP="00804C79">
            <w:pPr>
              <w:rPr>
                <w:rFonts w:ascii="Times New Roman" w:eastAsia="Times New Roman" w:hAnsi="Times New Roman" w:cs="Times New Roman"/>
                <w:sz w:val="20"/>
                <w:szCs w:val="20"/>
                <w:lang w:eastAsia="en-GB"/>
              </w:rPr>
            </w:pPr>
          </w:p>
        </w:tc>
        <w:tc>
          <w:tcPr>
            <w:tcW w:w="4678" w:type="dxa"/>
            <w:hideMark/>
          </w:tcPr>
          <w:p w:rsidR="00804C79" w:rsidRPr="00804C79" w:rsidRDefault="00804C79" w:rsidP="00804C79">
            <w:pPr>
              <w:rPr>
                <w:rFonts w:ascii="Times New Roman" w:eastAsia="Times New Roman" w:hAnsi="Times New Roman" w:cs="Times New Roman"/>
                <w:sz w:val="20"/>
                <w:szCs w:val="20"/>
                <w:lang w:eastAsia="en-GB"/>
              </w:rPr>
            </w:pPr>
          </w:p>
        </w:tc>
      </w:tr>
      <w:tr w:rsidR="00804C79" w:rsidRPr="00804C79" w:rsidTr="00B46BC9">
        <w:trPr>
          <w:trHeight w:val="605"/>
        </w:trPr>
        <w:tc>
          <w:tcPr>
            <w:tcW w:w="840" w:type="dxa"/>
            <w:hideMark/>
          </w:tcPr>
          <w:p w:rsidR="00804C79" w:rsidRPr="00804C79" w:rsidRDefault="00804C79" w:rsidP="00804C79">
            <w:pPr>
              <w:rPr>
                <w:rFonts w:ascii="Times New Roman" w:eastAsia="Times New Roman" w:hAnsi="Times New Roman" w:cs="Times New Roman"/>
                <w:sz w:val="20"/>
                <w:szCs w:val="20"/>
                <w:lang w:eastAsia="en-GB"/>
              </w:rPr>
            </w:pPr>
          </w:p>
        </w:tc>
        <w:tc>
          <w:tcPr>
            <w:tcW w:w="920" w:type="dxa"/>
            <w:hideMark/>
          </w:tcPr>
          <w:p w:rsidR="00804C79" w:rsidRPr="00804C79" w:rsidRDefault="00804C79" w:rsidP="00804C79">
            <w:pPr>
              <w:rPr>
                <w:rFonts w:ascii="Arial" w:eastAsia="Times New Roman" w:hAnsi="Arial" w:cs="Arial"/>
                <w:sz w:val="20"/>
                <w:szCs w:val="20"/>
                <w:lang w:eastAsia="en-GB"/>
              </w:rPr>
            </w:pPr>
            <w:r w:rsidRPr="00804C79">
              <w:rPr>
                <w:rFonts w:ascii="Arial" w:eastAsia="Times New Roman" w:hAnsi="Arial" w:cs="Arial"/>
                <w:sz w:val="20"/>
                <w:szCs w:val="20"/>
                <w:lang w:eastAsia="en-GB"/>
              </w:rPr>
              <w:t>3111</w:t>
            </w:r>
          </w:p>
        </w:tc>
        <w:tc>
          <w:tcPr>
            <w:tcW w:w="3055" w:type="dxa"/>
            <w:hideMark/>
          </w:tcPr>
          <w:p w:rsidR="00804C79" w:rsidRPr="00804C79" w:rsidRDefault="00804C79" w:rsidP="00804C79">
            <w:pPr>
              <w:rPr>
                <w:rFonts w:ascii="Arial" w:eastAsia="Times New Roman" w:hAnsi="Arial" w:cs="Arial"/>
                <w:sz w:val="20"/>
                <w:szCs w:val="20"/>
                <w:lang w:eastAsia="en-GB"/>
              </w:rPr>
            </w:pPr>
            <w:r w:rsidRPr="00804C79">
              <w:rPr>
                <w:rFonts w:ascii="Arial" w:eastAsia="Times New Roman" w:hAnsi="Arial" w:cs="Arial"/>
                <w:sz w:val="20"/>
                <w:szCs w:val="20"/>
                <w:lang w:eastAsia="en-GB"/>
              </w:rPr>
              <w:t>Laboratory</w:t>
            </w:r>
            <w:r w:rsidRPr="00B46BC9">
              <w:rPr>
                <w:rFonts w:ascii="Arial" w:eastAsia="Times New Roman" w:hAnsi="Arial" w:cs="Arial"/>
                <w:strike/>
                <w:color w:val="FF0000"/>
                <w:sz w:val="20"/>
                <w:szCs w:val="20"/>
                <w:lang w:eastAsia="en-GB"/>
              </w:rPr>
              <w:t xml:space="preserve"> associate </w:t>
            </w:r>
            <w:proofErr w:type="gramStart"/>
            <w:r w:rsidRPr="00B46BC9">
              <w:rPr>
                <w:rFonts w:ascii="Arial" w:eastAsia="Times New Roman" w:hAnsi="Arial" w:cs="Arial"/>
                <w:strike/>
                <w:color w:val="FF0000"/>
                <w:sz w:val="20"/>
                <w:szCs w:val="20"/>
                <w:lang w:eastAsia="en-GB"/>
              </w:rPr>
              <w:t>professionals</w:t>
            </w:r>
            <w:proofErr w:type="gramEnd"/>
            <w:r w:rsidRPr="00B46BC9">
              <w:rPr>
                <w:rFonts w:ascii="Arial" w:eastAsia="Times New Roman" w:hAnsi="Arial" w:cs="Arial"/>
                <w:color w:val="00B050"/>
                <w:sz w:val="20"/>
                <w:szCs w:val="20"/>
                <w:lang w:eastAsia="en-GB"/>
              </w:rPr>
              <w:t xml:space="preserve"> </w:t>
            </w:r>
            <w:r w:rsidRPr="00B46BC9">
              <w:rPr>
                <w:rFonts w:ascii="Arial" w:eastAsia="Times New Roman" w:hAnsi="Arial" w:cs="Arial"/>
                <w:sz w:val="20"/>
                <w:szCs w:val="20"/>
                <w:lang w:eastAsia="en-GB"/>
              </w:rPr>
              <w:t>technicians</w:t>
            </w:r>
          </w:p>
        </w:tc>
        <w:tc>
          <w:tcPr>
            <w:tcW w:w="4678" w:type="dxa"/>
            <w:hideMark/>
          </w:tcPr>
          <w:p w:rsidR="00804C79" w:rsidRPr="00804C79" w:rsidRDefault="00804C79" w:rsidP="00804C79">
            <w:pPr>
              <w:rPr>
                <w:rFonts w:ascii="Arial" w:eastAsia="Times New Roman" w:hAnsi="Arial" w:cs="Arial"/>
                <w:color w:val="FF0000"/>
                <w:sz w:val="20"/>
                <w:szCs w:val="20"/>
                <w:lang w:eastAsia="en-GB"/>
              </w:rPr>
            </w:pPr>
            <w:r w:rsidRPr="00B46BC9">
              <w:rPr>
                <w:rFonts w:ascii="Arial" w:eastAsia="Times New Roman" w:hAnsi="Arial" w:cs="Arial"/>
                <w:sz w:val="20"/>
                <w:szCs w:val="20"/>
                <w:lang w:eastAsia="en-GB"/>
              </w:rPr>
              <w:t>* Revert to original unit group name</w:t>
            </w:r>
            <w:r w:rsidRPr="00804C79">
              <w:rPr>
                <w:rFonts w:ascii="Arial" w:eastAsia="Times New Roman" w:hAnsi="Arial" w:cs="Arial"/>
                <w:strike/>
                <w:color w:val="FF0000"/>
                <w:sz w:val="20"/>
                <w:szCs w:val="20"/>
                <w:lang w:eastAsia="en-GB"/>
              </w:rPr>
              <w:br/>
            </w:r>
            <w:r w:rsidRPr="00B46BC9">
              <w:rPr>
                <w:rFonts w:ascii="Arial" w:eastAsia="Times New Roman" w:hAnsi="Arial" w:cs="Arial"/>
                <w:sz w:val="20"/>
                <w:szCs w:val="20"/>
                <w:lang w:eastAsia="en-GB"/>
              </w:rPr>
              <w:t>* Move selected laboratory professionals to appropriate existing unit groups in MG2</w:t>
            </w:r>
          </w:p>
        </w:tc>
      </w:tr>
    </w:tbl>
    <w:p w:rsidR="00BA62A9" w:rsidRPr="00B46BC9" w:rsidRDefault="00BA62A9" w:rsidP="00D16410">
      <w:pPr>
        <w:jc w:val="both"/>
        <w:rPr>
          <w:rFonts w:ascii="Arial" w:hAnsi="Arial" w:cs="Arial"/>
          <w:sz w:val="20"/>
          <w:szCs w:val="20"/>
        </w:rPr>
      </w:pPr>
    </w:p>
    <w:bookmarkEnd w:id="2"/>
    <w:p w:rsidR="00F03B27" w:rsidRDefault="00B46BC9" w:rsidP="00D16410">
      <w:pPr>
        <w:jc w:val="both"/>
        <w:rPr>
          <w:rFonts w:ascii="Arial" w:hAnsi="Arial" w:cs="Arial"/>
        </w:rPr>
      </w:pPr>
      <w:r>
        <w:rPr>
          <w:rFonts w:ascii="Arial" w:hAnsi="Arial" w:cs="Arial"/>
        </w:rPr>
        <w:t xml:space="preserve">Please also note that </w:t>
      </w:r>
      <w:r w:rsidR="00BA62A9">
        <w:rPr>
          <w:rFonts w:ascii="Arial" w:hAnsi="Arial" w:cs="Arial"/>
        </w:rPr>
        <w:t xml:space="preserve">research is currently being carried out to identify individual index entries for moving to MG2. </w:t>
      </w:r>
      <w:r w:rsidR="005006F1">
        <w:rPr>
          <w:rFonts w:ascii="Arial" w:hAnsi="Arial" w:cs="Arial"/>
        </w:rPr>
        <w:t xml:space="preserve"> </w:t>
      </w:r>
      <w:r w:rsidR="00BA62A9">
        <w:rPr>
          <w:rFonts w:ascii="Arial" w:hAnsi="Arial" w:cs="Arial"/>
        </w:rPr>
        <w:t>Those identified so far</w:t>
      </w:r>
      <w:r w:rsidR="008111F8">
        <w:rPr>
          <w:rFonts w:ascii="Arial" w:hAnsi="Arial" w:cs="Arial"/>
        </w:rPr>
        <w:t xml:space="preserve"> (that have</w:t>
      </w:r>
      <w:r w:rsidR="00BA62A9">
        <w:rPr>
          <w:rFonts w:ascii="Arial" w:hAnsi="Arial" w:cs="Arial"/>
        </w:rPr>
        <w:t xml:space="preserve"> not</w:t>
      </w:r>
      <w:r w:rsidR="008111F8">
        <w:rPr>
          <w:rFonts w:ascii="Arial" w:hAnsi="Arial" w:cs="Arial"/>
        </w:rPr>
        <w:t xml:space="preserve"> been</w:t>
      </w:r>
      <w:r w:rsidR="00BA62A9">
        <w:rPr>
          <w:rFonts w:ascii="Arial" w:hAnsi="Arial" w:cs="Arial"/>
        </w:rPr>
        <w:t xml:space="preserve"> previously reported</w:t>
      </w:r>
      <w:r w:rsidR="008111F8">
        <w:rPr>
          <w:rFonts w:ascii="Arial" w:hAnsi="Arial" w:cs="Arial"/>
        </w:rPr>
        <w:t>)</w:t>
      </w:r>
      <w:r w:rsidR="00BA62A9">
        <w:rPr>
          <w:rFonts w:ascii="Arial" w:hAnsi="Arial" w:cs="Arial"/>
        </w:rPr>
        <w:t xml:space="preserve"> have</w:t>
      </w:r>
      <w:r>
        <w:rPr>
          <w:rFonts w:ascii="Arial" w:hAnsi="Arial" w:cs="Arial"/>
        </w:rPr>
        <w:t xml:space="preserve"> been noted in the </w:t>
      </w:r>
      <w:r w:rsidR="008111F8">
        <w:rPr>
          <w:rFonts w:ascii="Arial" w:hAnsi="Arial" w:cs="Arial"/>
        </w:rPr>
        <w:t>updated</w:t>
      </w:r>
      <w:r>
        <w:rPr>
          <w:rFonts w:ascii="Arial" w:hAnsi="Arial" w:cs="Arial"/>
        </w:rPr>
        <w:t xml:space="preserve"> structure in the </w:t>
      </w:r>
      <w:r w:rsidR="00DF1005">
        <w:rPr>
          <w:rFonts w:ascii="Arial" w:hAnsi="Arial" w:cs="Arial"/>
        </w:rPr>
        <w:t>changes</w:t>
      </w:r>
      <w:r>
        <w:rPr>
          <w:rFonts w:ascii="Arial" w:hAnsi="Arial" w:cs="Arial"/>
        </w:rPr>
        <w:t xml:space="preserve"> column</w:t>
      </w:r>
      <w:r w:rsidR="00F03B27">
        <w:rPr>
          <w:rFonts w:ascii="Arial" w:hAnsi="Arial" w:cs="Arial"/>
        </w:rPr>
        <w:t xml:space="preserve"> in blue</w:t>
      </w:r>
      <w:r w:rsidR="008111F8">
        <w:rPr>
          <w:rFonts w:ascii="Arial" w:hAnsi="Arial" w:cs="Arial"/>
        </w:rPr>
        <w:t>.</w:t>
      </w:r>
      <w:r w:rsidR="00FE2A4A">
        <w:rPr>
          <w:rFonts w:ascii="Arial" w:hAnsi="Arial" w:cs="Arial"/>
        </w:rPr>
        <w:t xml:space="preserve"> </w:t>
      </w:r>
    </w:p>
    <w:p w:rsidR="00BA62A9" w:rsidRDefault="00BA62A9" w:rsidP="00BA62A9">
      <w:pPr>
        <w:jc w:val="both"/>
        <w:rPr>
          <w:rFonts w:ascii="Arial" w:hAnsi="Arial" w:cs="Arial"/>
        </w:rPr>
      </w:pPr>
    </w:p>
    <w:p w:rsidR="00BA62A9" w:rsidRDefault="00BA62A9" w:rsidP="00BA62A9">
      <w:pPr>
        <w:jc w:val="both"/>
        <w:rPr>
          <w:rFonts w:ascii="Arial" w:hAnsi="Arial" w:cs="Arial"/>
        </w:rPr>
      </w:pPr>
      <w:r>
        <w:rPr>
          <w:rFonts w:ascii="Arial" w:hAnsi="Arial" w:cs="Arial"/>
        </w:rPr>
        <w:t xml:space="preserve">If you have any comments or evidence which supports or refutes this proposal, please send them to </w:t>
      </w:r>
      <w:hyperlink r:id="rId5" w:history="1">
        <w:r>
          <w:rPr>
            <w:rStyle w:val="Hyperlink"/>
            <w:rFonts w:ascii="Arial" w:hAnsi="Arial" w:cs="Arial"/>
            <w:color w:val="auto"/>
            <w:u w:val="none"/>
          </w:rPr>
          <w:t>socrevision@ons.gov.uk</w:t>
        </w:r>
      </w:hyperlink>
      <w:r>
        <w:rPr>
          <w:rFonts w:ascii="Arial" w:hAnsi="Arial" w:cs="Arial"/>
        </w:rPr>
        <w:t xml:space="preserve"> by </w:t>
      </w:r>
      <w:r w:rsidRPr="00D16410">
        <w:rPr>
          <w:rFonts w:ascii="Arial" w:hAnsi="Arial" w:cs="Arial"/>
          <w:color w:val="FF0000"/>
        </w:rPr>
        <w:t>Friday 17 August 2018</w:t>
      </w:r>
      <w:r>
        <w:rPr>
          <w:rFonts w:ascii="Arial" w:hAnsi="Arial" w:cs="Arial"/>
        </w:rPr>
        <w:t>. These will be considered before any final decisions are made.</w:t>
      </w:r>
    </w:p>
    <w:p w:rsidR="00B46BC9" w:rsidRDefault="00B46BC9" w:rsidP="00D16410">
      <w:pPr>
        <w:jc w:val="both"/>
        <w:rPr>
          <w:rFonts w:ascii="Arial" w:hAnsi="Arial" w:cs="Arial"/>
        </w:rPr>
      </w:pPr>
    </w:p>
    <w:p w:rsidR="00D16410" w:rsidRDefault="00D16410" w:rsidP="00D16410">
      <w:pPr>
        <w:jc w:val="both"/>
        <w:rPr>
          <w:rFonts w:ascii="Arial" w:hAnsi="Arial" w:cs="Arial"/>
        </w:rPr>
      </w:pPr>
    </w:p>
    <w:p w:rsidR="00DB4D71" w:rsidRDefault="00DB4D71"/>
    <w:sectPr w:rsidR="00DB4D71" w:rsidSect="00DB4D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46848"/>
    <w:multiLevelType w:val="hybridMultilevel"/>
    <w:tmpl w:val="57E42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10"/>
    <w:rsid w:val="000423E6"/>
    <w:rsid w:val="00066F98"/>
    <w:rsid w:val="001A0740"/>
    <w:rsid w:val="001C6CBE"/>
    <w:rsid w:val="00405643"/>
    <w:rsid w:val="00412876"/>
    <w:rsid w:val="005006F1"/>
    <w:rsid w:val="007753FC"/>
    <w:rsid w:val="007C2346"/>
    <w:rsid w:val="00804C79"/>
    <w:rsid w:val="008111F8"/>
    <w:rsid w:val="00B46BC9"/>
    <w:rsid w:val="00BA62A9"/>
    <w:rsid w:val="00CD4865"/>
    <w:rsid w:val="00D16410"/>
    <w:rsid w:val="00DB4D71"/>
    <w:rsid w:val="00DF1005"/>
    <w:rsid w:val="00E16122"/>
    <w:rsid w:val="00F001E2"/>
    <w:rsid w:val="00F03B27"/>
    <w:rsid w:val="00F91C82"/>
    <w:rsid w:val="00FE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F213"/>
  <w15:chartTrackingRefBased/>
  <w15:docId w15:val="{6239D424-50D5-4FF0-8B53-BE01ABFC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410"/>
    <w:pPr>
      <w:jc w:val="left"/>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qFormat/>
    <w:rsid w:val="00D16410"/>
    <w:rPr>
      <w:color w:val="0563C1"/>
      <w:u w:val="single"/>
    </w:rPr>
  </w:style>
  <w:style w:type="character" w:customStyle="1" w:styleId="font231">
    <w:name w:val="font231"/>
    <w:basedOn w:val="DefaultParagraphFont"/>
    <w:rsid w:val="00804C79"/>
    <w:rPr>
      <w:rFonts w:ascii="Arial" w:hAnsi="Arial" w:cs="Arial" w:hint="default"/>
      <w:b/>
      <w:bCs/>
      <w:i w:val="0"/>
      <w:iCs w:val="0"/>
      <w:strike w:val="0"/>
      <w:dstrike w:val="0"/>
      <w:color w:val="FF0000"/>
      <w:sz w:val="20"/>
      <w:szCs w:val="20"/>
      <w:u w:val="none"/>
      <w:effect w:val="none"/>
    </w:rPr>
  </w:style>
  <w:style w:type="character" w:customStyle="1" w:styleId="font121">
    <w:name w:val="font121"/>
    <w:basedOn w:val="DefaultParagraphFont"/>
    <w:rsid w:val="00804C79"/>
    <w:rPr>
      <w:rFonts w:ascii="Arial" w:hAnsi="Arial" w:cs="Arial" w:hint="default"/>
      <w:b w:val="0"/>
      <w:bCs w:val="0"/>
      <w:i w:val="0"/>
      <w:iCs w:val="0"/>
      <w:strike w:val="0"/>
      <w:dstrike w:val="0"/>
      <w:color w:val="FF0000"/>
      <w:sz w:val="20"/>
      <w:szCs w:val="20"/>
      <w:u w:val="none"/>
      <w:effect w:val="none"/>
    </w:rPr>
  </w:style>
  <w:style w:type="character" w:customStyle="1" w:styleId="font131">
    <w:name w:val="font131"/>
    <w:basedOn w:val="DefaultParagraphFont"/>
    <w:rsid w:val="00804C79"/>
    <w:rPr>
      <w:rFonts w:ascii="Arial" w:hAnsi="Arial" w:cs="Arial" w:hint="default"/>
      <w:b w:val="0"/>
      <w:bCs w:val="0"/>
      <w:i w:val="0"/>
      <w:iCs w:val="0"/>
      <w:strike w:val="0"/>
      <w:dstrike w:val="0"/>
      <w:color w:val="00B050"/>
      <w:sz w:val="20"/>
      <w:szCs w:val="20"/>
      <w:u w:val="none"/>
      <w:effect w:val="none"/>
    </w:rPr>
  </w:style>
  <w:style w:type="character" w:customStyle="1" w:styleId="font71">
    <w:name w:val="font71"/>
    <w:basedOn w:val="DefaultParagraphFont"/>
    <w:rsid w:val="00804C79"/>
    <w:rPr>
      <w:rFonts w:ascii="Arial" w:hAnsi="Arial" w:cs="Arial" w:hint="default"/>
      <w:b w:val="0"/>
      <w:bCs w:val="0"/>
      <w:i w:val="0"/>
      <w:iCs w:val="0"/>
      <w:strike w:val="0"/>
      <w:dstrike w:val="0"/>
      <w:color w:val="auto"/>
      <w:sz w:val="20"/>
      <w:szCs w:val="20"/>
      <w:u w:val="none"/>
      <w:effect w:val="none"/>
    </w:rPr>
  </w:style>
  <w:style w:type="paragraph" w:styleId="BalloonText">
    <w:name w:val="Balloon Text"/>
    <w:basedOn w:val="Normal"/>
    <w:link w:val="BalloonTextChar"/>
    <w:uiPriority w:val="99"/>
    <w:semiHidden/>
    <w:unhideWhenUsed/>
    <w:rsid w:val="00DF10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00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569529">
      <w:bodyDiv w:val="1"/>
      <w:marLeft w:val="0"/>
      <w:marRight w:val="0"/>
      <w:marTop w:val="0"/>
      <w:marBottom w:val="0"/>
      <w:divBdr>
        <w:top w:val="none" w:sz="0" w:space="0" w:color="auto"/>
        <w:left w:val="none" w:sz="0" w:space="0" w:color="auto"/>
        <w:bottom w:val="none" w:sz="0" w:space="0" w:color="auto"/>
        <w:right w:val="none" w:sz="0" w:space="0" w:color="auto"/>
      </w:divBdr>
    </w:div>
    <w:div w:id="99876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crevision@on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Michaela</dc:creator>
  <cp:keywords/>
  <dc:description/>
  <cp:lastModifiedBy>Morris, Michaela</cp:lastModifiedBy>
  <cp:revision>9</cp:revision>
  <cp:lastPrinted>2018-08-10T13:26:00Z</cp:lastPrinted>
  <dcterms:created xsi:type="dcterms:W3CDTF">2018-08-07T14:44:00Z</dcterms:created>
  <dcterms:modified xsi:type="dcterms:W3CDTF">2018-08-13T10:56:00Z</dcterms:modified>
</cp:coreProperties>
</file>