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DDC4" w14:textId="317FE3EE" w:rsidR="00DE4928" w:rsidRDefault="00DE4928" w:rsidP="006858F7">
      <w:pPr>
        <w:rPr>
          <w:sz w:val="28"/>
          <w:szCs w:val="28"/>
        </w:rPr>
      </w:pPr>
      <w:bookmarkStart w:id="0" w:name="_GoBack"/>
      <w:bookmarkEnd w:id="0"/>
      <w:r>
        <w:rPr>
          <w:noProof/>
          <w:lang w:val="en-US"/>
        </w:rPr>
        <w:drawing>
          <wp:anchor distT="0" distB="0" distL="114300" distR="114300" simplePos="0" relativeHeight="251659264" behindDoc="0" locked="0" layoutInCell="1" allowOverlap="0" wp14:anchorId="167F2ABE" wp14:editId="27978893">
            <wp:simplePos x="0" y="0"/>
            <wp:positionH relativeFrom="column">
              <wp:posOffset>1832610</wp:posOffset>
            </wp:positionH>
            <wp:positionV relativeFrom="page">
              <wp:posOffset>251460</wp:posOffset>
            </wp:positionV>
            <wp:extent cx="2327910" cy="678180"/>
            <wp:effectExtent l="19050" t="0" r="0" b="0"/>
            <wp:wrapNone/>
            <wp:docPr id="12" name="Picture 12"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S_RGB"/>
                    <pic:cNvPicPr>
                      <a:picLocks noChangeAspect="1" noChangeArrowheads="1"/>
                    </pic:cNvPicPr>
                  </pic:nvPicPr>
                  <pic:blipFill>
                    <a:blip r:embed="rId12" cstate="print"/>
                    <a:srcRect/>
                    <a:stretch>
                      <a:fillRect/>
                    </a:stretch>
                  </pic:blipFill>
                  <pic:spPr bwMode="auto">
                    <a:xfrm>
                      <a:off x="0" y="0"/>
                      <a:ext cx="2327910" cy="678180"/>
                    </a:xfrm>
                    <a:prstGeom prst="rect">
                      <a:avLst/>
                    </a:prstGeom>
                    <a:noFill/>
                    <a:ln w="9525">
                      <a:noFill/>
                      <a:miter lim="800000"/>
                      <a:headEnd/>
                      <a:tailEnd/>
                    </a:ln>
                  </pic:spPr>
                </pic:pic>
              </a:graphicData>
            </a:graphic>
          </wp:anchor>
        </w:drawing>
      </w:r>
    </w:p>
    <w:p w14:paraId="774686FC" w14:textId="77777777" w:rsidR="00DE4928" w:rsidRPr="00946AC2" w:rsidRDefault="00DE4928" w:rsidP="00DE4928">
      <w:pPr>
        <w:jc w:val="center"/>
        <w:rPr>
          <w:sz w:val="22"/>
        </w:rPr>
      </w:pPr>
      <w:r w:rsidRPr="00946AC2">
        <w:rPr>
          <w:sz w:val="22"/>
        </w:rPr>
        <w:t>Minutes of the SOC Revision Steering Group (SRSG) Meeting</w:t>
      </w:r>
    </w:p>
    <w:p w14:paraId="67B56921" w14:textId="77777777" w:rsidR="00DE4928" w:rsidRPr="00946AC2" w:rsidRDefault="00DE4928" w:rsidP="00DE4928">
      <w:pPr>
        <w:jc w:val="center"/>
        <w:rPr>
          <w:sz w:val="22"/>
        </w:rPr>
      </w:pPr>
      <w:r>
        <w:rPr>
          <w:sz w:val="22"/>
        </w:rPr>
        <w:t>21 March 2019</w:t>
      </w:r>
    </w:p>
    <w:p w14:paraId="358F134C" w14:textId="77777777" w:rsidR="00DE4928" w:rsidRPr="00946AC2" w:rsidRDefault="00DE4928" w:rsidP="00DE4928">
      <w:pPr>
        <w:jc w:val="center"/>
        <w:rPr>
          <w:sz w:val="22"/>
        </w:rPr>
      </w:pPr>
      <w:r w:rsidRPr="00946AC2">
        <w:rPr>
          <w:sz w:val="22"/>
        </w:rPr>
        <w:t>11.00 – 12.30</w:t>
      </w:r>
    </w:p>
    <w:p w14:paraId="4CE40B32" w14:textId="7B3B91D3" w:rsidR="00DE4928" w:rsidRDefault="00DE4928" w:rsidP="00DE4928">
      <w:pPr>
        <w:jc w:val="center"/>
        <w:rPr>
          <w:sz w:val="22"/>
        </w:rPr>
      </w:pPr>
      <w:r w:rsidRPr="00946AC2">
        <w:rPr>
          <w:sz w:val="22"/>
        </w:rPr>
        <w:t>ONS, 1 Drummond Gate, London, SW1V 2QQ</w:t>
      </w:r>
    </w:p>
    <w:p w14:paraId="37564676" w14:textId="03D9EB9F" w:rsidR="006858F7" w:rsidRDefault="006858F7" w:rsidP="00DE4928">
      <w:pPr>
        <w:jc w:val="center"/>
        <w:rPr>
          <w:sz w:val="22"/>
        </w:rPr>
      </w:pPr>
    </w:p>
    <w:p w14:paraId="5A30E291" w14:textId="2070AA2C" w:rsidR="006858F7" w:rsidRDefault="006858F7" w:rsidP="00DE4928">
      <w:pPr>
        <w:jc w:val="center"/>
        <w:rPr>
          <w:sz w:val="22"/>
        </w:rPr>
      </w:pPr>
    </w:p>
    <w:tbl>
      <w:tblPr>
        <w:tblStyle w:val="TableGrid"/>
        <w:tblW w:w="9464" w:type="dxa"/>
        <w:tblLook w:val="04A0" w:firstRow="1" w:lastRow="0" w:firstColumn="1" w:lastColumn="0" w:noHBand="0" w:noVBand="1"/>
      </w:tblPr>
      <w:tblGrid>
        <w:gridCol w:w="4928"/>
        <w:gridCol w:w="4536"/>
      </w:tblGrid>
      <w:tr w:rsidR="006858F7" w:rsidRPr="00946AC2" w14:paraId="6499190F" w14:textId="77777777" w:rsidTr="00394BF8">
        <w:tc>
          <w:tcPr>
            <w:tcW w:w="4928" w:type="dxa"/>
            <w:tcBorders>
              <w:bottom w:val="single" w:sz="4" w:space="0" w:color="auto"/>
            </w:tcBorders>
          </w:tcPr>
          <w:p w14:paraId="4BAD08DB" w14:textId="77777777" w:rsidR="006858F7" w:rsidRPr="00946AC2" w:rsidRDefault="006858F7" w:rsidP="00394BF8">
            <w:pPr>
              <w:rPr>
                <w:b/>
                <w:sz w:val="22"/>
              </w:rPr>
            </w:pPr>
            <w:r w:rsidRPr="00946AC2">
              <w:rPr>
                <w:b/>
                <w:sz w:val="22"/>
              </w:rPr>
              <w:t>Attendees:</w:t>
            </w:r>
          </w:p>
        </w:tc>
        <w:tc>
          <w:tcPr>
            <w:tcW w:w="4536" w:type="dxa"/>
            <w:tcBorders>
              <w:bottom w:val="single" w:sz="4" w:space="0" w:color="auto"/>
            </w:tcBorders>
          </w:tcPr>
          <w:p w14:paraId="4839986B" w14:textId="77777777" w:rsidR="006858F7" w:rsidRPr="00946AC2" w:rsidRDefault="006858F7" w:rsidP="00394BF8">
            <w:pPr>
              <w:rPr>
                <w:sz w:val="22"/>
              </w:rPr>
            </w:pPr>
          </w:p>
        </w:tc>
      </w:tr>
      <w:tr w:rsidR="006858F7" w:rsidRPr="00946AC2" w14:paraId="2D7C0CB2" w14:textId="77777777" w:rsidTr="00394BF8">
        <w:tc>
          <w:tcPr>
            <w:tcW w:w="4928" w:type="dxa"/>
            <w:shd w:val="pct15" w:color="auto" w:fill="auto"/>
          </w:tcPr>
          <w:p w14:paraId="60634CA2" w14:textId="77777777" w:rsidR="006858F7" w:rsidRPr="00946AC2" w:rsidRDefault="006858F7" w:rsidP="00394BF8">
            <w:pPr>
              <w:rPr>
                <w:b/>
                <w:sz w:val="22"/>
              </w:rPr>
            </w:pPr>
            <w:r w:rsidRPr="00946AC2">
              <w:rPr>
                <w:b/>
                <w:sz w:val="22"/>
              </w:rPr>
              <w:t>Members</w:t>
            </w:r>
          </w:p>
        </w:tc>
        <w:tc>
          <w:tcPr>
            <w:tcW w:w="4536" w:type="dxa"/>
            <w:shd w:val="pct15" w:color="auto" w:fill="auto"/>
          </w:tcPr>
          <w:p w14:paraId="5C7FCA2D" w14:textId="77777777" w:rsidR="006858F7" w:rsidRPr="00946AC2" w:rsidRDefault="006858F7" w:rsidP="00394BF8">
            <w:pPr>
              <w:rPr>
                <w:sz w:val="22"/>
              </w:rPr>
            </w:pPr>
          </w:p>
        </w:tc>
      </w:tr>
      <w:tr w:rsidR="00FE51E6" w:rsidRPr="00946AC2" w14:paraId="5A5AD40A" w14:textId="77777777" w:rsidTr="00394BF8">
        <w:tc>
          <w:tcPr>
            <w:tcW w:w="4928" w:type="dxa"/>
          </w:tcPr>
          <w:p w14:paraId="78013E31" w14:textId="2C3E1F88" w:rsidR="00FE51E6" w:rsidRDefault="00FE51E6" w:rsidP="00FE51E6">
            <w:pPr>
              <w:rPr>
                <w:sz w:val="22"/>
              </w:rPr>
            </w:pPr>
            <w:r>
              <w:rPr>
                <w:sz w:val="22"/>
              </w:rPr>
              <w:t>Alex Bjorkergen</w:t>
            </w:r>
            <w:r w:rsidR="00E32FE3">
              <w:rPr>
                <w:sz w:val="22"/>
              </w:rPr>
              <w:t xml:space="preserve"> (AB)</w:t>
            </w:r>
          </w:p>
        </w:tc>
        <w:tc>
          <w:tcPr>
            <w:tcW w:w="4536" w:type="dxa"/>
          </w:tcPr>
          <w:p w14:paraId="62BBD157" w14:textId="1CBAE5D6" w:rsidR="00FE51E6" w:rsidRPr="00946AC2" w:rsidRDefault="00FE51E6" w:rsidP="00FE51E6">
            <w:pPr>
              <w:rPr>
                <w:sz w:val="22"/>
              </w:rPr>
            </w:pPr>
            <w:r w:rsidRPr="00946AC2">
              <w:rPr>
                <w:sz w:val="22"/>
              </w:rPr>
              <w:t>Dept for Culture, Media &amp; Sport (DCMS)</w:t>
            </w:r>
          </w:p>
        </w:tc>
      </w:tr>
      <w:tr w:rsidR="00FE51E6" w:rsidRPr="00946AC2" w14:paraId="3940009F" w14:textId="77777777" w:rsidTr="00394BF8">
        <w:tc>
          <w:tcPr>
            <w:tcW w:w="4928" w:type="dxa"/>
          </w:tcPr>
          <w:p w14:paraId="0AFFD52B" w14:textId="223714EE" w:rsidR="00FE51E6" w:rsidRPr="00946AC2" w:rsidRDefault="00FE51E6" w:rsidP="00FE51E6">
            <w:pPr>
              <w:rPr>
                <w:sz w:val="22"/>
              </w:rPr>
            </w:pPr>
            <w:r>
              <w:rPr>
                <w:sz w:val="22"/>
              </w:rPr>
              <w:t>Bryan Halka (BH)</w:t>
            </w:r>
          </w:p>
        </w:tc>
        <w:tc>
          <w:tcPr>
            <w:tcW w:w="4536" w:type="dxa"/>
          </w:tcPr>
          <w:p w14:paraId="13A1978F" w14:textId="36151DF3" w:rsidR="00FE51E6" w:rsidRPr="00946AC2" w:rsidRDefault="00FE51E6" w:rsidP="00FE51E6">
            <w:pPr>
              <w:rPr>
                <w:sz w:val="22"/>
              </w:rPr>
            </w:pPr>
            <w:r w:rsidRPr="00946AC2">
              <w:rPr>
                <w:sz w:val="22"/>
              </w:rPr>
              <w:t>Dept for Business, Energy and Industrial Strategy (BEIS)</w:t>
            </w:r>
          </w:p>
        </w:tc>
      </w:tr>
      <w:tr w:rsidR="00FE51E6" w:rsidRPr="00946AC2" w14:paraId="542ADD15" w14:textId="77777777" w:rsidTr="00394BF8">
        <w:tc>
          <w:tcPr>
            <w:tcW w:w="4928" w:type="dxa"/>
          </w:tcPr>
          <w:p w14:paraId="6764AC06" w14:textId="2C664319" w:rsidR="00FE51E6" w:rsidRPr="00946AC2" w:rsidRDefault="00FE51E6" w:rsidP="00FE51E6">
            <w:pPr>
              <w:rPr>
                <w:sz w:val="22"/>
              </w:rPr>
            </w:pPr>
            <w:r>
              <w:rPr>
                <w:sz w:val="22"/>
              </w:rPr>
              <w:t>Daniel Sandford-Smith (DSS)</w:t>
            </w:r>
          </w:p>
        </w:tc>
        <w:tc>
          <w:tcPr>
            <w:tcW w:w="4536" w:type="dxa"/>
          </w:tcPr>
          <w:p w14:paraId="1C286156" w14:textId="4582BFFB" w:rsidR="00FE51E6" w:rsidRPr="00946AC2" w:rsidRDefault="00FE51E6" w:rsidP="00FE51E6">
            <w:pPr>
              <w:rPr>
                <w:sz w:val="22"/>
              </w:rPr>
            </w:pPr>
            <w:r>
              <w:rPr>
                <w:sz w:val="22"/>
              </w:rPr>
              <w:t>Gatsby Foundation</w:t>
            </w:r>
          </w:p>
        </w:tc>
      </w:tr>
      <w:tr w:rsidR="00FE51E6" w:rsidRPr="00946AC2" w14:paraId="6203591D" w14:textId="77777777" w:rsidTr="00394BF8">
        <w:tc>
          <w:tcPr>
            <w:tcW w:w="4928" w:type="dxa"/>
          </w:tcPr>
          <w:p w14:paraId="4472AA39" w14:textId="77777777" w:rsidR="00FE51E6" w:rsidRDefault="00FE51E6" w:rsidP="00FE51E6">
            <w:pPr>
              <w:rPr>
                <w:sz w:val="22"/>
              </w:rPr>
            </w:pPr>
            <w:r>
              <w:rPr>
                <w:sz w:val="22"/>
              </w:rPr>
              <w:t>Peter Hounsome (PH)</w:t>
            </w:r>
          </w:p>
          <w:p w14:paraId="706D54AC" w14:textId="7C52E46F" w:rsidR="00FE51E6" w:rsidRPr="00946AC2" w:rsidRDefault="00FE51E6" w:rsidP="00FE51E6">
            <w:pPr>
              <w:rPr>
                <w:sz w:val="22"/>
              </w:rPr>
            </w:pPr>
            <w:r>
              <w:rPr>
                <w:sz w:val="22"/>
              </w:rPr>
              <w:t>audio</w:t>
            </w:r>
          </w:p>
        </w:tc>
        <w:tc>
          <w:tcPr>
            <w:tcW w:w="4536" w:type="dxa"/>
          </w:tcPr>
          <w:p w14:paraId="2D56478B" w14:textId="1025FB9A" w:rsidR="00FE51E6" w:rsidRPr="00946AC2" w:rsidRDefault="00FE51E6" w:rsidP="00FE51E6">
            <w:pPr>
              <w:rPr>
                <w:sz w:val="22"/>
              </w:rPr>
            </w:pPr>
            <w:r>
              <w:rPr>
                <w:sz w:val="22"/>
              </w:rPr>
              <w:t>The Tech Partnership</w:t>
            </w:r>
          </w:p>
        </w:tc>
      </w:tr>
      <w:tr w:rsidR="00FE51E6" w:rsidRPr="00946AC2" w14:paraId="76BD1316" w14:textId="77777777" w:rsidTr="00394BF8">
        <w:tc>
          <w:tcPr>
            <w:tcW w:w="4928" w:type="dxa"/>
          </w:tcPr>
          <w:p w14:paraId="357EA186" w14:textId="43E390B0" w:rsidR="00FE51E6" w:rsidRPr="00946AC2" w:rsidRDefault="00FE51E6" w:rsidP="00FE51E6">
            <w:pPr>
              <w:rPr>
                <w:sz w:val="22"/>
              </w:rPr>
            </w:pPr>
            <w:r>
              <w:rPr>
                <w:sz w:val="22"/>
              </w:rPr>
              <w:t>Stephanie Freeth (SF)</w:t>
            </w:r>
          </w:p>
        </w:tc>
        <w:tc>
          <w:tcPr>
            <w:tcW w:w="4536" w:type="dxa"/>
          </w:tcPr>
          <w:p w14:paraId="56077269" w14:textId="380B823A" w:rsidR="00FE51E6" w:rsidRPr="00946AC2" w:rsidRDefault="00FE51E6" w:rsidP="00FE51E6">
            <w:pPr>
              <w:rPr>
                <w:sz w:val="22"/>
              </w:rPr>
            </w:pPr>
            <w:r>
              <w:rPr>
                <w:sz w:val="22"/>
              </w:rPr>
              <w:t>Dept for Communities and Local Government (DCLG)</w:t>
            </w:r>
          </w:p>
        </w:tc>
      </w:tr>
      <w:tr w:rsidR="00FE51E6" w:rsidRPr="00946AC2" w14:paraId="6595DF19" w14:textId="77777777" w:rsidTr="00394BF8">
        <w:tc>
          <w:tcPr>
            <w:tcW w:w="4928" w:type="dxa"/>
          </w:tcPr>
          <w:p w14:paraId="7CB5D6DB" w14:textId="77777777" w:rsidR="00FE51E6" w:rsidRDefault="00FE51E6" w:rsidP="00FE51E6">
            <w:pPr>
              <w:rPr>
                <w:sz w:val="22"/>
              </w:rPr>
            </w:pPr>
            <w:r>
              <w:rPr>
                <w:sz w:val="22"/>
              </w:rPr>
              <w:t>Venetia Haynes (VH)</w:t>
            </w:r>
          </w:p>
          <w:p w14:paraId="4E92373D" w14:textId="6E3CE512" w:rsidR="00FE51E6" w:rsidRPr="00946AC2" w:rsidRDefault="00FE51E6" w:rsidP="00FE51E6">
            <w:pPr>
              <w:rPr>
                <w:sz w:val="22"/>
              </w:rPr>
            </w:pPr>
            <w:r>
              <w:rPr>
                <w:sz w:val="22"/>
              </w:rPr>
              <w:t>audio</w:t>
            </w:r>
          </w:p>
        </w:tc>
        <w:tc>
          <w:tcPr>
            <w:tcW w:w="4536" w:type="dxa"/>
          </w:tcPr>
          <w:p w14:paraId="5A5E0FED" w14:textId="593FC999" w:rsidR="00FE51E6" w:rsidRPr="00946AC2" w:rsidRDefault="00FE51E6" w:rsidP="00FE51E6">
            <w:pPr>
              <w:rPr>
                <w:sz w:val="22"/>
              </w:rPr>
            </w:pPr>
            <w:r>
              <w:rPr>
                <w:sz w:val="22"/>
              </w:rPr>
              <w:t>National Records Scotland</w:t>
            </w:r>
          </w:p>
        </w:tc>
      </w:tr>
      <w:tr w:rsidR="00FE51E6" w:rsidRPr="00946AC2" w14:paraId="42278006" w14:textId="77777777" w:rsidTr="00394BF8">
        <w:tc>
          <w:tcPr>
            <w:tcW w:w="4928" w:type="dxa"/>
            <w:shd w:val="pct15" w:color="auto" w:fill="auto"/>
          </w:tcPr>
          <w:p w14:paraId="119B9DCC" w14:textId="77777777" w:rsidR="00FE51E6" w:rsidRPr="00946AC2" w:rsidRDefault="00FE51E6" w:rsidP="00FE51E6">
            <w:pPr>
              <w:rPr>
                <w:b/>
                <w:sz w:val="22"/>
                <w:highlight w:val="lightGray"/>
              </w:rPr>
            </w:pPr>
            <w:r w:rsidRPr="00946AC2">
              <w:rPr>
                <w:b/>
                <w:sz w:val="22"/>
              </w:rPr>
              <w:t>Classification Representatives (CU)</w:t>
            </w:r>
          </w:p>
        </w:tc>
        <w:tc>
          <w:tcPr>
            <w:tcW w:w="4536" w:type="dxa"/>
            <w:shd w:val="pct15" w:color="auto" w:fill="auto"/>
          </w:tcPr>
          <w:p w14:paraId="1A01625E" w14:textId="77777777" w:rsidR="00FE51E6" w:rsidRPr="00946AC2" w:rsidRDefault="00FE51E6" w:rsidP="00FE51E6">
            <w:pPr>
              <w:rPr>
                <w:sz w:val="22"/>
                <w:highlight w:val="lightGray"/>
              </w:rPr>
            </w:pPr>
          </w:p>
        </w:tc>
      </w:tr>
      <w:tr w:rsidR="00FE51E6" w:rsidRPr="00946AC2" w14:paraId="1CC8340A" w14:textId="77777777" w:rsidTr="00394BF8">
        <w:tc>
          <w:tcPr>
            <w:tcW w:w="4928" w:type="dxa"/>
          </w:tcPr>
          <w:p w14:paraId="20DED8EC" w14:textId="199D06A6" w:rsidR="00FE51E6" w:rsidRPr="00946AC2" w:rsidRDefault="00FE51E6" w:rsidP="00FE51E6">
            <w:pPr>
              <w:rPr>
                <w:sz w:val="22"/>
              </w:rPr>
            </w:pPr>
            <w:r>
              <w:rPr>
                <w:sz w:val="22"/>
              </w:rPr>
              <w:t>Suzanne Fry (SFr) Chair</w:t>
            </w:r>
          </w:p>
        </w:tc>
        <w:tc>
          <w:tcPr>
            <w:tcW w:w="4536" w:type="dxa"/>
          </w:tcPr>
          <w:p w14:paraId="2034986C" w14:textId="430FD640" w:rsidR="00FE51E6" w:rsidRPr="00946AC2" w:rsidRDefault="00FE51E6" w:rsidP="00FE51E6">
            <w:pPr>
              <w:rPr>
                <w:sz w:val="22"/>
              </w:rPr>
            </w:pPr>
            <w:r>
              <w:rPr>
                <w:sz w:val="22"/>
              </w:rPr>
              <w:t>ONS</w:t>
            </w:r>
          </w:p>
        </w:tc>
      </w:tr>
      <w:tr w:rsidR="00FE51E6" w:rsidRPr="00946AC2" w14:paraId="35B4C5EA" w14:textId="77777777" w:rsidTr="00394BF8">
        <w:tc>
          <w:tcPr>
            <w:tcW w:w="4928" w:type="dxa"/>
          </w:tcPr>
          <w:p w14:paraId="0FB0EB8B" w14:textId="77777777" w:rsidR="00FE51E6" w:rsidRPr="00946AC2" w:rsidRDefault="00FE51E6" w:rsidP="00FE51E6">
            <w:pPr>
              <w:rPr>
                <w:sz w:val="22"/>
              </w:rPr>
            </w:pPr>
            <w:r w:rsidRPr="00946AC2">
              <w:rPr>
                <w:sz w:val="22"/>
              </w:rPr>
              <w:t>Michaela Morris (MM)</w:t>
            </w:r>
          </w:p>
        </w:tc>
        <w:tc>
          <w:tcPr>
            <w:tcW w:w="4536" w:type="dxa"/>
          </w:tcPr>
          <w:p w14:paraId="1148ECE5" w14:textId="77777777" w:rsidR="00FE51E6" w:rsidRPr="00946AC2" w:rsidRDefault="00FE51E6" w:rsidP="00FE51E6">
            <w:pPr>
              <w:rPr>
                <w:sz w:val="22"/>
              </w:rPr>
            </w:pPr>
            <w:r w:rsidRPr="00946AC2">
              <w:rPr>
                <w:sz w:val="22"/>
              </w:rPr>
              <w:t>ONS</w:t>
            </w:r>
          </w:p>
        </w:tc>
      </w:tr>
      <w:tr w:rsidR="00FE51E6" w:rsidRPr="00946AC2" w14:paraId="4ED4A409" w14:textId="77777777" w:rsidTr="00394BF8">
        <w:tc>
          <w:tcPr>
            <w:tcW w:w="4928" w:type="dxa"/>
            <w:tcBorders>
              <w:bottom w:val="single" w:sz="4" w:space="0" w:color="auto"/>
            </w:tcBorders>
          </w:tcPr>
          <w:p w14:paraId="75482B00" w14:textId="77777777" w:rsidR="00FE51E6" w:rsidRPr="00946AC2" w:rsidRDefault="00FE51E6" w:rsidP="00FE51E6">
            <w:pPr>
              <w:rPr>
                <w:sz w:val="22"/>
              </w:rPr>
            </w:pPr>
            <w:r w:rsidRPr="00946AC2">
              <w:rPr>
                <w:sz w:val="22"/>
              </w:rPr>
              <w:t>Kerry Dagens (KD) Secretariat</w:t>
            </w:r>
          </w:p>
        </w:tc>
        <w:tc>
          <w:tcPr>
            <w:tcW w:w="4536" w:type="dxa"/>
            <w:tcBorders>
              <w:bottom w:val="single" w:sz="4" w:space="0" w:color="auto"/>
            </w:tcBorders>
          </w:tcPr>
          <w:p w14:paraId="6CA69CA7" w14:textId="77777777" w:rsidR="00FE51E6" w:rsidRPr="00946AC2" w:rsidRDefault="00FE51E6" w:rsidP="00FE51E6">
            <w:pPr>
              <w:rPr>
                <w:sz w:val="22"/>
              </w:rPr>
            </w:pPr>
            <w:r w:rsidRPr="00946AC2">
              <w:rPr>
                <w:sz w:val="22"/>
              </w:rPr>
              <w:t>ONS</w:t>
            </w:r>
          </w:p>
        </w:tc>
      </w:tr>
      <w:tr w:rsidR="00E058BC" w:rsidRPr="00946AC2" w14:paraId="6A10ED0B" w14:textId="77777777" w:rsidTr="00E058BC">
        <w:tc>
          <w:tcPr>
            <w:tcW w:w="4928" w:type="dxa"/>
            <w:tcBorders>
              <w:bottom w:val="single" w:sz="4" w:space="0" w:color="auto"/>
            </w:tcBorders>
            <w:shd w:val="clear" w:color="auto" w:fill="D9D9D9" w:themeFill="background1" w:themeFillShade="D9"/>
          </w:tcPr>
          <w:p w14:paraId="0E7ED38C" w14:textId="00D1B091" w:rsidR="00E058BC" w:rsidRPr="00E058BC" w:rsidRDefault="00E058BC" w:rsidP="00FE51E6">
            <w:pPr>
              <w:rPr>
                <w:b/>
                <w:color w:val="auto"/>
                <w:sz w:val="22"/>
              </w:rPr>
            </w:pPr>
            <w:r>
              <w:rPr>
                <w:b/>
                <w:color w:val="auto"/>
                <w:sz w:val="22"/>
              </w:rPr>
              <w:t>SOC Revision Working Group Representatives</w:t>
            </w:r>
          </w:p>
        </w:tc>
        <w:tc>
          <w:tcPr>
            <w:tcW w:w="4536" w:type="dxa"/>
            <w:tcBorders>
              <w:bottom w:val="single" w:sz="4" w:space="0" w:color="auto"/>
            </w:tcBorders>
            <w:shd w:val="clear" w:color="auto" w:fill="D9D9D9" w:themeFill="background1" w:themeFillShade="D9"/>
          </w:tcPr>
          <w:p w14:paraId="32866D03" w14:textId="77777777" w:rsidR="00E058BC" w:rsidRPr="00E058BC" w:rsidRDefault="00E058BC" w:rsidP="00FE51E6">
            <w:pPr>
              <w:rPr>
                <w:color w:val="BFBFBF" w:themeColor="background1" w:themeShade="BF"/>
                <w:sz w:val="22"/>
              </w:rPr>
            </w:pPr>
          </w:p>
        </w:tc>
      </w:tr>
      <w:tr w:rsidR="00E058BC" w:rsidRPr="00946AC2" w14:paraId="56F3E2BC" w14:textId="77777777" w:rsidTr="00394BF8">
        <w:tc>
          <w:tcPr>
            <w:tcW w:w="4928" w:type="dxa"/>
            <w:tcBorders>
              <w:bottom w:val="single" w:sz="4" w:space="0" w:color="auto"/>
            </w:tcBorders>
          </w:tcPr>
          <w:p w14:paraId="6E3FF712" w14:textId="57BEF6BF" w:rsidR="00E058BC" w:rsidRPr="00946AC2" w:rsidRDefault="00E058BC" w:rsidP="00FE51E6">
            <w:pPr>
              <w:rPr>
                <w:sz w:val="22"/>
              </w:rPr>
            </w:pPr>
            <w:r>
              <w:rPr>
                <w:sz w:val="22"/>
              </w:rPr>
              <w:t>Margaret Birch</w:t>
            </w:r>
            <w:r w:rsidR="008F205D">
              <w:rPr>
                <w:sz w:val="22"/>
              </w:rPr>
              <w:t xml:space="preserve"> (MB)</w:t>
            </w:r>
          </w:p>
        </w:tc>
        <w:tc>
          <w:tcPr>
            <w:tcW w:w="4536" w:type="dxa"/>
            <w:tcBorders>
              <w:bottom w:val="single" w:sz="4" w:space="0" w:color="auto"/>
            </w:tcBorders>
          </w:tcPr>
          <w:p w14:paraId="26F66E58" w14:textId="2FFD2136" w:rsidR="00E058BC" w:rsidRPr="00946AC2" w:rsidRDefault="00E058BC" w:rsidP="00FE51E6">
            <w:pPr>
              <w:rPr>
                <w:sz w:val="22"/>
              </w:rPr>
            </w:pPr>
            <w:r>
              <w:rPr>
                <w:sz w:val="22"/>
              </w:rPr>
              <w:t>Institute for Employment Research (IER)</w:t>
            </w:r>
          </w:p>
        </w:tc>
      </w:tr>
      <w:tr w:rsidR="00E058BC" w:rsidRPr="00946AC2" w14:paraId="1E92F13C" w14:textId="77777777" w:rsidTr="00394BF8">
        <w:tc>
          <w:tcPr>
            <w:tcW w:w="4928" w:type="dxa"/>
            <w:tcBorders>
              <w:bottom w:val="single" w:sz="4" w:space="0" w:color="auto"/>
            </w:tcBorders>
          </w:tcPr>
          <w:p w14:paraId="758592F3" w14:textId="44069461" w:rsidR="00E058BC" w:rsidRPr="00946AC2" w:rsidRDefault="00E058BC" w:rsidP="00FE51E6">
            <w:pPr>
              <w:rPr>
                <w:sz w:val="22"/>
              </w:rPr>
            </w:pPr>
            <w:r>
              <w:rPr>
                <w:sz w:val="22"/>
              </w:rPr>
              <w:t>Peter Elias</w:t>
            </w:r>
            <w:r w:rsidR="008F205D">
              <w:rPr>
                <w:sz w:val="22"/>
              </w:rPr>
              <w:t xml:space="preserve"> (PE)</w:t>
            </w:r>
          </w:p>
        </w:tc>
        <w:tc>
          <w:tcPr>
            <w:tcW w:w="4536" w:type="dxa"/>
            <w:tcBorders>
              <w:bottom w:val="single" w:sz="4" w:space="0" w:color="auto"/>
            </w:tcBorders>
          </w:tcPr>
          <w:p w14:paraId="20635A7B" w14:textId="568306CF" w:rsidR="00E058BC" w:rsidRPr="00946AC2" w:rsidRDefault="00E058BC" w:rsidP="00FE51E6">
            <w:pPr>
              <w:rPr>
                <w:sz w:val="22"/>
              </w:rPr>
            </w:pPr>
            <w:r>
              <w:rPr>
                <w:sz w:val="22"/>
              </w:rPr>
              <w:t>Institute for Employment Research (IER)</w:t>
            </w:r>
          </w:p>
        </w:tc>
      </w:tr>
      <w:tr w:rsidR="00E058BC" w:rsidRPr="00946AC2" w14:paraId="0B926E75" w14:textId="77777777" w:rsidTr="00394BF8">
        <w:tc>
          <w:tcPr>
            <w:tcW w:w="4928" w:type="dxa"/>
            <w:tcBorders>
              <w:bottom w:val="single" w:sz="4" w:space="0" w:color="auto"/>
            </w:tcBorders>
          </w:tcPr>
          <w:p w14:paraId="009F6C84" w14:textId="1D555152" w:rsidR="00E058BC" w:rsidRPr="00946AC2" w:rsidRDefault="00E058BC" w:rsidP="00FE51E6">
            <w:pPr>
              <w:rPr>
                <w:sz w:val="22"/>
              </w:rPr>
            </w:pPr>
            <w:r>
              <w:rPr>
                <w:sz w:val="22"/>
              </w:rPr>
              <w:t>Richard Boreham</w:t>
            </w:r>
            <w:r w:rsidR="008F205D">
              <w:rPr>
                <w:sz w:val="22"/>
              </w:rPr>
              <w:t xml:space="preserve"> (RB)</w:t>
            </w:r>
          </w:p>
        </w:tc>
        <w:tc>
          <w:tcPr>
            <w:tcW w:w="4536" w:type="dxa"/>
            <w:tcBorders>
              <w:bottom w:val="single" w:sz="4" w:space="0" w:color="auto"/>
            </w:tcBorders>
          </w:tcPr>
          <w:p w14:paraId="7F12B40E" w14:textId="4D54AC99" w:rsidR="00E058BC" w:rsidRPr="00946AC2" w:rsidRDefault="00E058BC" w:rsidP="00FE51E6">
            <w:pPr>
              <w:rPr>
                <w:sz w:val="22"/>
              </w:rPr>
            </w:pPr>
            <w:r>
              <w:rPr>
                <w:sz w:val="22"/>
              </w:rPr>
              <w:t>NatCen</w:t>
            </w:r>
          </w:p>
        </w:tc>
      </w:tr>
      <w:tr w:rsidR="00FE51E6" w:rsidRPr="00946AC2" w14:paraId="4F2053B3" w14:textId="77777777" w:rsidTr="00394BF8">
        <w:tc>
          <w:tcPr>
            <w:tcW w:w="4928" w:type="dxa"/>
            <w:shd w:val="clear" w:color="auto" w:fill="D9D9D9" w:themeFill="background1" w:themeFillShade="D9"/>
          </w:tcPr>
          <w:p w14:paraId="4EA5C05D" w14:textId="77777777" w:rsidR="00FE51E6" w:rsidRPr="00946AC2" w:rsidRDefault="00FE51E6" w:rsidP="00FE51E6">
            <w:pPr>
              <w:rPr>
                <w:sz w:val="22"/>
              </w:rPr>
            </w:pPr>
            <w:r w:rsidRPr="00946AC2">
              <w:rPr>
                <w:b/>
                <w:sz w:val="22"/>
              </w:rPr>
              <w:t>Apologies:</w:t>
            </w:r>
          </w:p>
        </w:tc>
        <w:tc>
          <w:tcPr>
            <w:tcW w:w="4536" w:type="dxa"/>
            <w:shd w:val="clear" w:color="auto" w:fill="D9D9D9" w:themeFill="background1" w:themeFillShade="D9"/>
          </w:tcPr>
          <w:p w14:paraId="47D19A7C" w14:textId="77777777" w:rsidR="00FE51E6" w:rsidRPr="00946AC2" w:rsidRDefault="00FE51E6" w:rsidP="00FE51E6">
            <w:pPr>
              <w:rPr>
                <w:sz w:val="22"/>
              </w:rPr>
            </w:pPr>
          </w:p>
        </w:tc>
      </w:tr>
      <w:tr w:rsidR="00FE51E6" w:rsidRPr="00946AC2" w14:paraId="68225458" w14:textId="77777777" w:rsidTr="00394BF8">
        <w:tc>
          <w:tcPr>
            <w:tcW w:w="4928" w:type="dxa"/>
          </w:tcPr>
          <w:p w14:paraId="2637CCE6" w14:textId="3ACEF707" w:rsidR="00FE51E6" w:rsidRPr="00946AC2" w:rsidRDefault="00FE51E6" w:rsidP="00FE51E6">
            <w:pPr>
              <w:rPr>
                <w:sz w:val="22"/>
              </w:rPr>
            </w:pPr>
            <w:r>
              <w:rPr>
                <w:sz w:val="22"/>
              </w:rPr>
              <w:t>Andy Darnton (AD)</w:t>
            </w:r>
          </w:p>
        </w:tc>
        <w:tc>
          <w:tcPr>
            <w:tcW w:w="4536" w:type="dxa"/>
          </w:tcPr>
          <w:p w14:paraId="45BC6959" w14:textId="5B0C1251" w:rsidR="00FE51E6" w:rsidRPr="00946AC2" w:rsidRDefault="00FE51E6" w:rsidP="00FE51E6">
            <w:pPr>
              <w:rPr>
                <w:sz w:val="22"/>
              </w:rPr>
            </w:pPr>
            <w:r w:rsidRPr="00946AC2">
              <w:rPr>
                <w:sz w:val="22"/>
              </w:rPr>
              <w:t>Health &amp; Safety Executive (HSE)</w:t>
            </w:r>
          </w:p>
        </w:tc>
      </w:tr>
      <w:tr w:rsidR="00FE51E6" w:rsidRPr="00946AC2" w14:paraId="505FD33A" w14:textId="77777777" w:rsidTr="00394BF8">
        <w:tc>
          <w:tcPr>
            <w:tcW w:w="4928" w:type="dxa"/>
          </w:tcPr>
          <w:p w14:paraId="080AAC15" w14:textId="1ADD1572" w:rsidR="00FE51E6" w:rsidRPr="00946AC2" w:rsidRDefault="00FE51E6" w:rsidP="00FE51E6">
            <w:pPr>
              <w:rPr>
                <w:sz w:val="22"/>
              </w:rPr>
            </w:pPr>
            <w:r>
              <w:rPr>
                <w:sz w:val="22"/>
              </w:rPr>
              <w:t>Cal Ghee (CG)</w:t>
            </w:r>
          </w:p>
        </w:tc>
        <w:tc>
          <w:tcPr>
            <w:tcW w:w="4536" w:type="dxa"/>
          </w:tcPr>
          <w:p w14:paraId="1C785BA0" w14:textId="6BD5A6A6" w:rsidR="00FE51E6" w:rsidRPr="00946AC2" w:rsidRDefault="00FE51E6" w:rsidP="00FE51E6">
            <w:pPr>
              <w:rPr>
                <w:sz w:val="22"/>
              </w:rPr>
            </w:pPr>
            <w:r>
              <w:rPr>
                <w:sz w:val="22"/>
              </w:rPr>
              <w:t>ONS</w:t>
            </w:r>
          </w:p>
        </w:tc>
      </w:tr>
      <w:tr w:rsidR="00FE51E6" w:rsidRPr="00946AC2" w14:paraId="4258D7D8" w14:textId="77777777" w:rsidTr="00394BF8">
        <w:tc>
          <w:tcPr>
            <w:tcW w:w="4928" w:type="dxa"/>
          </w:tcPr>
          <w:p w14:paraId="07374A91" w14:textId="4DCAA063" w:rsidR="00FE51E6" w:rsidRPr="00946AC2" w:rsidRDefault="00FE51E6" w:rsidP="00FE51E6">
            <w:pPr>
              <w:rPr>
                <w:sz w:val="22"/>
              </w:rPr>
            </w:pPr>
            <w:r>
              <w:rPr>
                <w:sz w:val="22"/>
              </w:rPr>
              <w:t>Charlie Ball (CB)</w:t>
            </w:r>
          </w:p>
        </w:tc>
        <w:tc>
          <w:tcPr>
            <w:tcW w:w="4536" w:type="dxa"/>
          </w:tcPr>
          <w:p w14:paraId="6F343EC4" w14:textId="25C7C613" w:rsidR="00FE51E6" w:rsidRPr="00946AC2" w:rsidRDefault="00FE51E6" w:rsidP="00FE51E6">
            <w:pPr>
              <w:rPr>
                <w:sz w:val="22"/>
              </w:rPr>
            </w:pPr>
            <w:r w:rsidRPr="00946AC2">
              <w:rPr>
                <w:sz w:val="22"/>
              </w:rPr>
              <w:t>Higher Education Careers Service Unit (HECSU)</w:t>
            </w:r>
          </w:p>
        </w:tc>
      </w:tr>
      <w:tr w:rsidR="00FE51E6" w:rsidRPr="00946AC2" w14:paraId="117315B7" w14:textId="77777777" w:rsidTr="00394BF8">
        <w:tc>
          <w:tcPr>
            <w:tcW w:w="4928" w:type="dxa"/>
          </w:tcPr>
          <w:p w14:paraId="655D5002" w14:textId="6683B590" w:rsidR="00FE51E6" w:rsidRPr="00946AC2" w:rsidRDefault="00FE51E6" w:rsidP="00FE51E6">
            <w:pPr>
              <w:rPr>
                <w:sz w:val="22"/>
              </w:rPr>
            </w:pPr>
            <w:r>
              <w:rPr>
                <w:sz w:val="22"/>
              </w:rPr>
              <w:t>Frank Bowley (FB)</w:t>
            </w:r>
          </w:p>
        </w:tc>
        <w:tc>
          <w:tcPr>
            <w:tcW w:w="4536" w:type="dxa"/>
          </w:tcPr>
          <w:p w14:paraId="47D35510" w14:textId="7283D092" w:rsidR="00FE51E6" w:rsidRPr="00946AC2" w:rsidRDefault="00FE51E6" w:rsidP="00FE51E6">
            <w:pPr>
              <w:rPr>
                <w:sz w:val="22"/>
              </w:rPr>
            </w:pPr>
            <w:r>
              <w:rPr>
                <w:sz w:val="22"/>
              </w:rPr>
              <w:t>Dept for Education (DfE)</w:t>
            </w:r>
          </w:p>
        </w:tc>
      </w:tr>
      <w:tr w:rsidR="00FE51E6" w:rsidRPr="00946AC2" w14:paraId="61F97027" w14:textId="77777777" w:rsidTr="00394BF8">
        <w:tc>
          <w:tcPr>
            <w:tcW w:w="4928" w:type="dxa"/>
          </w:tcPr>
          <w:p w14:paraId="63FEEFB2" w14:textId="7AE0D49A" w:rsidR="00FE51E6" w:rsidRPr="00946AC2" w:rsidRDefault="00FE51E6" w:rsidP="00FE51E6">
            <w:pPr>
              <w:rPr>
                <w:sz w:val="22"/>
              </w:rPr>
            </w:pPr>
            <w:r>
              <w:rPr>
                <w:sz w:val="22"/>
              </w:rPr>
              <w:t>Helena Rosieka (HR)</w:t>
            </w:r>
          </w:p>
        </w:tc>
        <w:tc>
          <w:tcPr>
            <w:tcW w:w="4536" w:type="dxa"/>
          </w:tcPr>
          <w:p w14:paraId="463E6019" w14:textId="1C15F360" w:rsidR="00FE51E6" w:rsidRPr="00946AC2" w:rsidRDefault="00FE51E6" w:rsidP="00FE51E6">
            <w:pPr>
              <w:rPr>
                <w:sz w:val="22"/>
              </w:rPr>
            </w:pPr>
            <w:r>
              <w:rPr>
                <w:sz w:val="22"/>
              </w:rPr>
              <w:t>ONS</w:t>
            </w:r>
          </w:p>
        </w:tc>
      </w:tr>
      <w:tr w:rsidR="00FE51E6" w:rsidRPr="00946AC2" w14:paraId="7B0E9941" w14:textId="77777777" w:rsidTr="00394BF8">
        <w:tc>
          <w:tcPr>
            <w:tcW w:w="4928" w:type="dxa"/>
          </w:tcPr>
          <w:p w14:paraId="0714CB3A" w14:textId="5D7851C3" w:rsidR="00FE51E6" w:rsidRPr="00946AC2" w:rsidRDefault="00E058BC" w:rsidP="00FE51E6">
            <w:pPr>
              <w:rPr>
                <w:sz w:val="22"/>
              </w:rPr>
            </w:pPr>
            <w:r>
              <w:rPr>
                <w:sz w:val="22"/>
              </w:rPr>
              <w:t>Tomas Sanchez</w:t>
            </w:r>
            <w:r w:rsidR="00FE51E6">
              <w:rPr>
                <w:sz w:val="22"/>
              </w:rPr>
              <w:t xml:space="preserve"> (TS) </w:t>
            </w:r>
          </w:p>
        </w:tc>
        <w:tc>
          <w:tcPr>
            <w:tcW w:w="4536" w:type="dxa"/>
          </w:tcPr>
          <w:p w14:paraId="43C516F5" w14:textId="1C45ED3C" w:rsidR="00FE51E6" w:rsidRPr="00946AC2" w:rsidRDefault="00FE51E6" w:rsidP="00FE51E6">
            <w:pPr>
              <w:rPr>
                <w:sz w:val="22"/>
              </w:rPr>
            </w:pPr>
            <w:r>
              <w:rPr>
                <w:sz w:val="22"/>
              </w:rPr>
              <w:t>ONS</w:t>
            </w:r>
          </w:p>
        </w:tc>
      </w:tr>
    </w:tbl>
    <w:p w14:paraId="014E0F19" w14:textId="77777777" w:rsidR="006858F7" w:rsidRPr="00946AC2" w:rsidRDefault="006858F7" w:rsidP="006858F7">
      <w:pPr>
        <w:rPr>
          <w:b/>
          <w:sz w:val="22"/>
        </w:rPr>
      </w:pPr>
    </w:p>
    <w:p w14:paraId="2408B575" w14:textId="20558231" w:rsidR="006858F7" w:rsidRDefault="006858F7" w:rsidP="006858F7">
      <w:pPr>
        <w:rPr>
          <w:b/>
          <w:sz w:val="22"/>
        </w:rPr>
      </w:pPr>
    </w:p>
    <w:p w14:paraId="7D261C25" w14:textId="2FCA938C" w:rsidR="006858F7" w:rsidRDefault="006858F7" w:rsidP="006858F7">
      <w:pPr>
        <w:pStyle w:val="ListParagraph"/>
        <w:numPr>
          <w:ilvl w:val="0"/>
          <w:numId w:val="1"/>
        </w:numPr>
        <w:rPr>
          <w:b/>
          <w:sz w:val="22"/>
        </w:rPr>
      </w:pPr>
      <w:r w:rsidRPr="00946AC2">
        <w:rPr>
          <w:b/>
          <w:sz w:val="22"/>
        </w:rPr>
        <w:t>Welcome and Introduction –</w:t>
      </w:r>
      <w:r w:rsidR="00E058BC">
        <w:rPr>
          <w:b/>
          <w:sz w:val="22"/>
        </w:rPr>
        <w:t xml:space="preserve"> Suzanne Fry</w:t>
      </w:r>
    </w:p>
    <w:p w14:paraId="098B25E6" w14:textId="7A55DFDA" w:rsidR="00E058BC" w:rsidRDefault="00E058BC" w:rsidP="00E058BC">
      <w:pPr>
        <w:rPr>
          <w:b/>
          <w:sz w:val="22"/>
        </w:rPr>
      </w:pPr>
    </w:p>
    <w:p w14:paraId="5377048F" w14:textId="77777777" w:rsidR="00E058BC" w:rsidRPr="00946AC2" w:rsidRDefault="00E058BC" w:rsidP="00E058BC">
      <w:pPr>
        <w:rPr>
          <w:sz w:val="22"/>
        </w:rPr>
      </w:pPr>
      <w:r>
        <w:rPr>
          <w:sz w:val="22"/>
        </w:rPr>
        <w:t xml:space="preserve">SFr welcomed everyone and thanked them for attending </w:t>
      </w:r>
      <w:r w:rsidRPr="00946AC2">
        <w:rPr>
          <w:sz w:val="22"/>
        </w:rPr>
        <w:t>the meeting of the Standard Occupational Classification Revision Steering Group (SRSG).  Members in the room and those attending via audio introduced themselves.</w:t>
      </w:r>
    </w:p>
    <w:p w14:paraId="4B799F56" w14:textId="17F6D1D2" w:rsidR="00E058BC" w:rsidRDefault="00E058BC" w:rsidP="00E058BC">
      <w:pPr>
        <w:rPr>
          <w:sz w:val="22"/>
        </w:rPr>
      </w:pPr>
    </w:p>
    <w:p w14:paraId="043896C3" w14:textId="3D301011" w:rsidR="004B3FB2" w:rsidRDefault="004B3FB2" w:rsidP="004B3FB2">
      <w:pPr>
        <w:rPr>
          <w:sz w:val="22"/>
        </w:rPr>
      </w:pPr>
      <w:r>
        <w:rPr>
          <w:sz w:val="22"/>
        </w:rPr>
        <w:t>SFr</w:t>
      </w:r>
      <w:r w:rsidRPr="00946AC2">
        <w:rPr>
          <w:sz w:val="22"/>
        </w:rPr>
        <w:t xml:space="preserve"> explained </w:t>
      </w:r>
      <w:r>
        <w:rPr>
          <w:sz w:val="22"/>
        </w:rPr>
        <w:t>she would be chai</w:t>
      </w:r>
      <w:r w:rsidR="00EA3C20">
        <w:rPr>
          <w:sz w:val="22"/>
        </w:rPr>
        <w:t>ring the meeting in TS absence</w:t>
      </w:r>
    </w:p>
    <w:p w14:paraId="77E54140" w14:textId="77777777" w:rsidR="00EA3C20" w:rsidRDefault="00EA3C20" w:rsidP="004B3FB2">
      <w:pPr>
        <w:rPr>
          <w:sz w:val="22"/>
        </w:rPr>
      </w:pPr>
    </w:p>
    <w:p w14:paraId="059D6243" w14:textId="1835425D" w:rsidR="004B3FB2" w:rsidRDefault="004B3FB2" w:rsidP="004B3FB2">
      <w:pPr>
        <w:pStyle w:val="ListParagraph"/>
        <w:numPr>
          <w:ilvl w:val="0"/>
          <w:numId w:val="1"/>
        </w:numPr>
        <w:rPr>
          <w:b/>
          <w:sz w:val="22"/>
        </w:rPr>
      </w:pPr>
      <w:r w:rsidRPr="00946AC2">
        <w:rPr>
          <w:b/>
          <w:sz w:val="22"/>
        </w:rPr>
        <w:t>Minutes of last meeting</w:t>
      </w:r>
      <w:r>
        <w:rPr>
          <w:b/>
          <w:sz w:val="22"/>
        </w:rPr>
        <w:t xml:space="preserve"> and actions – Suzanne Fry</w:t>
      </w:r>
    </w:p>
    <w:p w14:paraId="4E3FAF51" w14:textId="7CC61928" w:rsidR="004B3FB2" w:rsidRDefault="004B3FB2" w:rsidP="004B3FB2">
      <w:pPr>
        <w:rPr>
          <w:b/>
          <w:sz w:val="22"/>
        </w:rPr>
      </w:pPr>
    </w:p>
    <w:p w14:paraId="56C00E0A" w14:textId="771A7798" w:rsidR="004B3FB2" w:rsidRDefault="00EA3C20" w:rsidP="004B3FB2">
      <w:pPr>
        <w:rPr>
          <w:sz w:val="22"/>
        </w:rPr>
      </w:pPr>
      <w:r>
        <w:rPr>
          <w:sz w:val="22"/>
        </w:rPr>
        <w:t xml:space="preserve">The minutes from the last meeting were agreed.  </w:t>
      </w:r>
    </w:p>
    <w:p w14:paraId="4D6AF981" w14:textId="1BF2AA4C" w:rsidR="00EA3C20" w:rsidRDefault="00EA3C20" w:rsidP="004B3FB2">
      <w:pPr>
        <w:rPr>
          <w:sz w:val="22"/>
        </w:rPr>
      </w:pPr>
    </w:p>
    <w:p w14:paraId="477BF6AF" w14:textId="596180D0" w:rsidR="00EA3C20" w:rsidRDefault="00EA3C20" w:rsidP="00EA3C20">
      <w:pPr>
        <w:pStyle w:val="ListParagraph"/>
        <w:numPr>
          <w:ilvl w:val="0"/>
          <w:numId w:val="3"/>
        </w:numPr>
        <w:rPr>
          <w:sz w:val="22"/>
        </w:rPr>
      </w:pPr>
      <w:r>
        <w:rPr>
          <w:sz w:val="22"/>
        </w:rPr>
        <w:t>PH</w:t>
      </w:r>
      <w:r w:rsidR="00F4747D">
        <w:rPr>
          <w:sz w:val="22"/>
        </w:rPr>
        <w:t>: The</w:t>
      </w:r>
      <w:r>
        <w:rPr>
          <w:sz w:val="22"/>
        </w:rPr>
        <w:t xml:space="preserve"> overa</w:t>
      </w:r>
      <w:r w:rsidR="008F205D">
        <w:rPr>
          <w:sz w:val="22"/>
        </w:rPr>
        <w:t xml:space="preserve">ll </w:t>
      </w:r>
      <w:r w:rsidR="00F4747D">
        <w:rPr>
          <w:sz w:val="22"/>
        </w:rPr>
        <w:t>process has</w:t>
      </w:r>
      <w:r>
        <w:rPr>
          <w:sz w:val="22"/>
        </w:rPr>
        <w:t xml:space="preserve"> been disappointing with meetings not being held regularly and some comments not being acted on appropriately.  </w:t>
      </w:r>
      <w:r w:rsidR="00F4747D">
        <w:rPr>
          <w:sz w:val="22"/>
        </w:rPr>
        <w:t>T</w:t>
      </w:r>
      <w:r>
        <w:rPr>
          <w:sz w:val="22"/>
        </w:rPr>
        <w:t xml:space="preserve">he issue of identifying </w:t>
      </w:r>
      <w:r w:rsidR="00FB4E79">
        <w:rPr>
          <w:sz w:val="22"/>
        </w:rPr>
        <w:t xml:space="preserve">secondary </w:t>
      </w:r>
      <w:r w:rsidR="00F4747D">
        <w:rPr>
          <w:sz w:val="22"/>
        </w:rPr>
        <w:t>school teachers by subject taught has not been dealt with.</w:t>
      </w:r>
    </w:p>
    <w:p w14:paraId="708CB378" w14:textId="722C8E58" w:rsidR="00FB4E79" w:rsidRDefault="00F4747D" w:rsidP="00EA3C20">
      <w:pPr>
        <w:pStyle w:val="ListParagraph"/>
        <w:numPr>
          <w:ilvl w:val="0"/>
          <w:numId w:val="3"/>
        </w:numPr>
        <w:rPr>
          <w:sz w:val="22"/>
        </w:rPr>
      </w:pPr>
      <w:r>
        <w:rPr>
          <w:sz w:val="22"/>
        </w:rPr>
        <w:lastRenderedPageBreak/>
        <w:t>MM:</w:t>
      </w:r>
      <w:r w:rsidR="00FD31A7">
        <w:rPr>
          <w:sz w:val="22"/>
        </w:rPr>
        <w:t xml:space="preserve"> The decision was made that</w:t>
      </w:r>
      <w:r>
        <w:rPr>
          <w:sz w:val="22"/>
        </w:rPr>
        <w:t xml:space="preserve"> SRSG meetings are</w:t>
      </w:r>
      <w:r w:rsidR="00FB4E79">
        <w:rPr>
          <w:sz w:val="22"/>
        </w:rPr>
        <w:t xml:space="preserve"> only held when ther</w:t>
      </w:r>
      <w:r>
        <w:rPr>
          <w:sz w:val="22"/>
        </w:rPr>
        <w:t>e is</w:t>
      </w:r>
      <w:r w:rsidR="00FB4E79">
        <w:rPr>
          <w:sz w:val="22"/>
        </w:rPr>
        <w:t xml:space="preserve"> something tangible to report.  Research into identifying teachers by subject had been carrie</w:t>
      </w:r>
      <w:r>
        <w:rPr>
          <w:sz w:val="22"/>
        </w:rPr>
        <w:t>d</w:t>
      </w:r>
      <w:r w:rsidR="00FB4E79">
        <w:rPr>
          <w:sz w:val="22"/>
        </w:rPr>
        <w:t xml:space="preserve"> out and was </w:t>
      </w:r>
      <w:r w:rsidR="00FD31A7">
        <w:rPr>
          <w:sz w:val="22"/>
        </w:rPr>
        <w:t xml:space="preserve">reported to stakeholders that it was </w:t>
      </w:r>
      <w:r w:rsidR="00FB4E79">
        <w:rPr>
          <w:sz w:val="22"/>
        </w:rPr>
        <w:t>not possible,</w:t>
      </w:r>
      <w:r>
        <w:rPr>
          <w:sz w:val="22"/>
        </w:rPr>
        <w:t xml:space="preserve"> </w:t>
      </w:r>
      <w:r w:rsidR="00FD31A7">
        <w:rPr>
          <w:sz w:val="22"/>
        </w:rPr>
        <w:t xml:space="preserve">as </w:t>
      </w:r>
      <w:r w:rsidR="00A86477">
        <w:rPr>
          <w:sz w:val="22"/>
        </w:rPr>
        <w:t>most</w:t>
      </w:r>
      <w:r>
        <w:rPr>
          <w:sz w:val="22"/>
        </w:rPr>
        <w:t xml:space="preserve"> people just call themselves </w:t>
      </w:r>
      <w:r w:rsidR="00FD31A7">
        <w:rPr>
          <w:sz w:val="22"/>
        </w:rPr>
        <w:t xml:space="preserve"> a ‘</w:t>
      </w:r>
      <w:r>
        <w:rPr>
          <w:sz w:val="22"/>
        </w:rPr>
        <w:t>teacher</w:t>
      </w:r>
      <w:r w:rsidR="00FD31A7">
        <w:rPr>
          <w:sz w:val="22"/>
        </w:rPr>
        <w:t>’</w:t>
      </w:r>
      <w:r>
        <w:rPr>
          <w:sz w:val="22"/>
        </w:rPr>
        <w:t>.  T</w:t>
      </w:r>
      <w:r w:rsidR="00FB4E79">
        <w:rPr>
          <w:sz w:val="22"/>
        </w:rPr>
        <w:t xml:space="preserve">his </w:t>
      </w:r>
      <w:r w:rsidR="00FD31A7">
        <w:rPr>
          <w:sz w:val="22"/>
        </w:rPr>
        <w:t xml:space="preserve">issue </w:t>
      </w:r>
      <w:r w:rsidR="00FB4E79">
        <w:rPr>
          <w:sz w:val="22"/>
        </w:rPr>
        <w:t xml:space="preserve">is something that would be fed into the SOC extension project, which is in </w:t>
      </w:r>
      <w:r w:rsidR="00A86477">
        <w:rPr>
          <w:sz w:val="22"/>
        </w:rPr>
        <w:t>its</w:t>
      </w:r>
      <w:r w:rsidR="00FB4E79">
        <w:rPr>
          <w:sz w:val="22"/>
        </w:rPr>
        <w:t xml:space="preserve"> early stages.</w:t>
      </w:r>
    </w:p>
    <w:p w14:paraId="31DD7300" w14:textId="77777777" w:rsidR="00FB4E79" w:rsidRPr="00FB4E79" w:rsidRDefault="00FB4E79" w:rsidP="00FB4E79">
      <w:pPr>
        <w:rPr>
          <w:sz w:val="22"/>
        </w:rPr>
      </w:pPr>
    </w:p>
    <w:p w14:paraId="439C8A5C" w14:textId="1FEC2902" w:rsidR="00FB4E79" w:rsidRDefault="00FB4E79" w:rsidP="00FB4E79">
      <w:pPr>
        <w:rPr>
          <w:b/>
          <w:sz w:val="22"/>
        </w:rPr>
      </w:pPr>
      <w:r>
        <w:rPr>
          <w:b/>
          <w:sz w:val="22"/>
        </w:rPr>
        <w:t>Action Point 1 – ONS to circulate the papers from the SOC extension project.</w:t>
      </w:r>
    </w:p>
    <w:p w14:paraId="41EDF72F" w14:textId="6130AE86" w:rsidR="00FB4E79" w:rsidRDefault="00FB4E79" w:rsidP="00FB4E79">
      <w:pPr>
        <w:rPr>
          <w:b/>
          <w:sz w:val="22"/>
        </w:rPr>
      </w:pPr>
    </w:p>
    <w:p w14:paraId="23A42C77" w14:textId="7994144B" w:rsidR="00FB4E79" w:rsidRDefault="00214DC3" w:rsidP="00FB4E79">
      <w:pPr>
        <w:rPr>
          <w:sz w:val="22"/>
        </w:rPr>
      </w:pPr>
      <w:r>
        <w:rPr>
          <w:sz w:val="22"/>
        </w:rPr>
        <w:t>There were some outstanding actions from the previous meeting</w:t>
      </w:r>
      <w:r w:rsidR="00295288">
        <w:rPr>
          <w:sz w:val="22"/>
        </w:rPr>
        <w:t>:</w:t>
      </w:r>
    </w:p>
    <w:p w14:paraId="40DB6906" w14:textId="3C58D4AF" w:rsidR="00295288" w:rsidRDefault="00295288" w:rsidP="00FB4E79">
      <w:pPr>
        <w:rPr>
          <w:sz w:val="22"/>
        </w:rPr>
      </w:pPr>
    </w:p>
    <w:p w14:paraId="36E41EAF" w14:textId="7650B51B" w:rsidR="00295288" w:rsidRPr="00295288" w:rsidRDefault="00295288" w:rsidP="00295288">
      <w:pPr>
        <w:pStyle w:val="ListParagraph"/>
        <w:numPr>
          <w:ilvl w:val="0"/>
          <w:numId w:val="4"/>
        </w:numPr>
        <w:rPr>
          <w:sz w:val="22"/>
        </w:rPr>
      </w:pPr>
      <w:r w:rsidRPr="00295288">
        <w:rPr>
          <w:sz w:val="22"/>
        </w:rPr>
        <w:t>Action 1 – Whilst this h</w:t>
      </w:r>
      <w:r w:rsidR="00636094">
        <w:rPr>
          <w:sz w:val="22"/>
        </w:rPr>
        <w:t>ad been circulated in July 2018 to both stakeholders and steering group members,</w:t>
      </w:r>
      <w:r w:rsidRPr="00295288">
        <w:rPr>
          <w:sz w:val="22"/>
        </w:rPr>
        <w:t xml:space="preserve"> some members did not see the paper.</w:t>
      </w:r>
      <w:r w:rsidR="00636094">
        <w:rPr>
          <w:sz w:val="22"/>
        </w:rPr>
        <w:t xml:space="preserve"> Based on the discussions at the last SRSG the working group revisited the methodology used to define ‘graduates’ which was explained in the paper.</w:t>
      </w:r>
    </w:p>
    <w:p w14:paraId="0C8E6E1C" w14:textId="4F22E2FD" w:rsidR="00295288" w:rsidRDefault="00295288" w:rsidP="00FB4E79">
      <w:pPr>
        <w:rPr>
          <w:sz w:val="22"/>
        </w:rPr>
      </w:pPr>
    </w:p>
    <w:p w14:paraId="086AF44E" w14:textId="78DD7EF8" w:rsidR="00295288" w:rsidRPr="00295288" w:rsidRDefault="00295288" w:rsidP="00FB4E79">
      <w:pPr>
        <w:rPr>
          <w:b/>
          <w:sz w:val="22"/>
        </w:rPr>
      </w:pPr>
      <w:r>
        <w:rPr>
          <w:b/>
          <w:sz w:val="22"/>
        </w:rPr>
        <w:t xml:space="preserve">Action Point 2 – ONS to </w:t>
      </w:r>
      <w:r w:rsidR="00E86856">
        <w:rPr>
          <w:b/>
          <w:sz w:val="22"/>
        </w:rPr>
        <w:t xml:space="preserve">check original circulation and </w:t>
      </w:r>
      <w:r>
        <w:rPr>
          <w:b/>
          <w:sz w:val="22"/>
        </w:rPr>
        <w:t>re-circulate the paper.</w:t>
      </w:r>
    </w:p>
    <w:p w14:paraId="7327B10E" w14:textId="54C05940" w:rsidR="00295288" w:rsidRDefault="00295288" w:rsidP="00FB4E79">
      <w:pPr>
        <w:rPr>
          <w:sz w:val="22"/>
        </w:rPr>
      </w:pPr>
    </w:p>
    <w:p w14:paraId="722CCD21" w14:textId="72E3B17B" w:rsidR="00295288" w:rsidRDefault="00295288" w:rsidP="00295288">
      <w:pPr>
        <w:pStyle w:val="ListParagraph"/>
        <w:numPr>
          <w:ilvl w:val="0"/>
          <w:numId w:val="4"/>
        </w:numPr>
        <w:rPr>
          <w:sz w:val="22"/>
        </w:rPr>
      </w:pPr>
      <w:r w:rsidRPr="00295288">
        <w:rPr>
          <w:sz w:val="22"/>
        </w:rPr>
        <w:t>Action 2 – This is some</w:t>
      </w:r>
      <w:r w:rsidR="00636094">
        <w:rPr>
          <w:sz w:val="22"/>
        </w:rPr>
        <w:t xml:space="preserve">thing we are thinking about now as part of the publication. </w:t>
      </w:r>
      <w:r w:rsidRPr="00295288">
        <w:rPr>
          <w:sz w:val="22"/>
        </w:rPr>
        <w:t xml:space="preserve"> SFr will speak to </w:t>
      </w:r>
      <w:r w:rsidR="00636094">
        <w:rPr>
          <w:sz w:val="22"/>
        </w:rPr>
        <w:t xml:space="preserve">colleagues in </w:t>
      </w:r>
      <w:r w:rsidRPr="00295288">
        <w:rPr>
          <w:sz w:val="22"/>
        </w:rPr>
        <w:t xml:space="preserve">Labour Market and Economic Statistics </w:t>
      </w:r>
      <w:r w:rsidR="00636094">
        <w:rPr>
          <w:sz w:val="22"/>
        </w:rPr>
        <w:t>to discuss</w:t>
      </w:r>
      <w:r w:rsidRPr="00295288">
        <w:rPr>
          <w:sz w:val="22"/>
        </w:rPr>
        <w:t xml:space="preserve"> how we communicate this.</w:t>
      </w:r>
    </w:p>
    <w:p w14:paraId="241CC375" w14:textId="31F47A2E" w:rsidR="00226831" w:rsidRDefault="00226831" w:rsidP="00226831">
      <w:pPr>
        <w:pStyle w:val="ListParagraph"/>
        <w:numPr>
          <w:ilvl w:val="1"/>
          <w:numId w:val="4"/>
        </w:numPr>
        <w:rPr>
          <w:sz w:val="22"/>
        </w:rPr>
      </w:pPr>
      <w:r>
        <w:rPr>
          <w:sz w:val="22"/>
        </w:rPr>
        <w:t>There was some discussion, that for users there may not appear to be a lot of difference between SOC2010 and SOC2020.  PE added that there have been significant changes at the unit group level which reflect technological changes</w:t>
      </w:r>
      <w:r w:rsidR="00E105DB">
        <w:rPr>
          <w:sz w:val="22"/>
        </w:rPr>
        <w:t>.  One of the</w:t>
      </w:r>
      <w:r>
        <w:rPr>
          <w:sz w:val="22"/>
        </w:rPr>
        <w:t xml:space="preserve"> key requirement</w:t>
      </w:r>
      <w:r w:rsidR="00E105DB">
        <w:rPr>
          <w:sz w:val="22"/>
        </w:rPr>
        <w:t>s</w:t>
      </w:r>
      <w:r>
        <w:rPr>
          <w:sz w:val="22"/>
        </w:rPr>
        <w:t xml:space="preserve"> for users</w:t>
      </w:r>
      <w:r w:rsidR="00E105DB">
        <w:rPr>
          <w:sz w:val="22"/>
        </w:rPr>
        <w:t xml:space="preserve"> when revising SOC</w:t>
      </w:r>
      <w:r>
        <w:rPr>
          <w:sz w:val="22"/>
        </w:rPr>
        <w:t xml:space="preserve"> </w:t>
      </w:r>
      <w:r w:rsidR="00E105DB">
        <w:rPr>
          <w:sz w:val="22"/>
        </w:rPr>
        <w:t>is continuity therefore there was no change at the higher level of the classification.</w:t>
      </w:r>
      <w:r>
        <w:rPr>
          <w:sz w:val="22"/>
        </w:rPr>
        <w:t xml:space="preserve"> It was agreed that whilst </w:t>
      </w:r>
      <w:r w:rsidR="00E105DB">
        <w:rPr>
          <w:sz w:val="22"/>
        </w:rPr>
        <w:t>jobs and the knowledge required to do a job are changing, occupations are not,</w:t>
      </w:r>
      <w:r>
        <w:rPr>
          <w:sz w:val="22"/>
        </w:rPr>
        <w:t xml:space="preserve"> and </w:t>
      </w:r>
      <w:r w:rsidR="008F205D">
        <w:rPr>
          <w:sz w:val="22"/>
        </w:rPr>
        <w:t xml:space="preserve">thought needs to be given on how to communicate this. </w:t>
      </w:r>
    </w:p>
    <w:p w14:paraId="6A824D85" w14:textId="77777777" w:rsidR="00636094" w:rsidRPr="00636094" w:rsidRDefault="00636094" w:rsidP="00636094">
      <w:pPr>
        <w:rPr>
          <w:sz w:val="22"/>
        </w:rPr>
      </w:pPr>
    </w:p>
    <w:p w14:paraId="7F33902E" w14:textId="6D69FB9C" w:rsidR="00636094" w:rsidRDefault="00636094" w:rsidP="00636094">
      <w:pPr>
        <w:pStyle w:val="ListParagraph"/>
        <w:numPr>
          <w:ilvl w:val="0"/>
          <w:numId w:val="4"/>
        </w:numPr>
        <w:rPr>
          <w:sz w:val="22"/>
        </w:rPr>
      </w:pPr>
      <w:r>
        <w:rPr>
          <w:sz w:val="22"/>
        </w:rPr>
        <w:t xml:space="preserve">Action 3 – The meeting to discuss graduates </w:t>
      </w:r>
      <w:r w:rsidR="00F4747D">
        <w:rPr>
          <w:sz w:val="22"/>
        </w:rPr>
        <w:t xml:space="preserve">prior to this SRSG meeting did not take place.  </w:t>
      </w:r>
    </w:p>
    <w:p w14:paraId="0E4BFB79" w14:textId="757789C6" w:rsidR="00EC16C8" w:rsidRDefault="008F205D" w:rsidP="00EC16C8">
      <w:pPr>
        <w:pStyle w:val="ListParagraph"/>
        <w:numPr>
          <w:ilvl w:val="1"/>
          <w:numId w:val="4"/>
        </w:numPr>
        <w:rPr>
          <w:sz w:val="22"/>
        </w:rPr>
      </w:pPr>
      <w:r>
        <w:rPr>
          <w:sz w:val="22"/>
        </w:rPr>
        <w:t xml:space="preserve">DSS: There was </w:t>
      </w:r>
      <w:r w:rsidR="00F94B61">
        <w:rPr>
          <w:sz w:val="22"/>
        </w:rPr>
        <w:t>disagreement</w:t>
      </w:r>
      <w:r w:rsidR="00EC16C8">
        <w:rPr>
          <w:sz w:val="22"/>
        </w:rPr>
        <w:t xml:space="preserve"> at the last SRSG about how the work had been done and there wasn’t time to discuss it properly which is why a </w:t>
      </w:r>
      <w:r w:rsidR="00EA00D5">
        <w:rPr>
          <w:sz w:val="22"/>
        </w:rPr>
        <w:t xml:space="preserve">further </w:t>
      </w:r>
      <w:r w:rsidR="00EC16C8">
        <w:rPr>
          <w:sz w:val="22"/>
        </w:rPr>
        <w:t>meeting was agreed.</w:t>
      </w:r>
      <w:r w:rsidR="00F94B61">
        <w:rPr>
          <w:sz w:val="22"/>
        </w:rPr>
        <w:t xml:space="preserve">  This is a very important policy issue with a</w:t>
      </w:r>
      <w:r>
        <w:rPr>
          <w:sz w:val="22"/>
        </w:rPr>
        <w:t xml:space="preserve">n </w:t>
      </w:r>
      <w:r w:rsidR="00A86477">
        <w:rPr>
          <w:sz w:val="22"/>
        </w:rPr>
        <w:t>upcoming review</w:t>
      </w:r>
      <w:r w:rsidR="00F94B61">
        <w:rPr>
          <w:sz w:val="22"/>
        </w:rPr>
        <w:t xml:space="preserve"> into graduates and university fees</w:t>
      </w:r>
      <w:r>
        <w:rPr>
          <w:sz w:val="22"/>
        </w:rPr>
        <w:t>,</w:t>
      </w:r>
      <w:r w:rsidR="00F94B61">
        <w:rPr>
          <w:sz w:val="22"/>
        </w:rPr>
        <w:t xml:space="preserve"> which will be driven by this work. </w:t>
      </w:r>
    </w:p>
    <w:p w14:paraId="6A7342AE" w14:textId="4CD0EFAB" w:rsidR="00EC16C8" w:rsidRDefault="00EC16C8" w:rsidP="00EC16C8">
      <w:pPr>
        <w:pStyle w:val="ListParagraph"/>
        <w:numPr>
          <w:ilvl w:val="1"/>
          <w:numId w:val="4"/>
        </w:numPr>
        <w:rPr>
          <w:sz w:val="22"/>
        </w:rPr>
      </w:pPr>
      <w:r>
        <w:rPr>
          <w:sz w:val="22"/>
        </w:rPr>
        <w:t>MM: Apologised for this, however as mentioned in the comments above following the last SRSG the working group revisited the methodology and the final outcomes were circulated for comment</w:t>
      </w:r>
      <w:r w:rsidR="00F94B61">
        <w:rPr>
          <w:sz w:val="22"/>
        </w:rPr>
        <w:t>.</w:t>
      </w:r>
    </w:p>
    <w:p w14:paraId="06874219" w14:textId="5128A8DD" w:rsidR="00F94B61" w:rsidRDefault="00F94B61" w:rsidP="00EC16C8">
      <w:pPr>
        <w:pStyle w:val="ListParagraph"/>
        <w:numPr>
          <w:ilvl w:val="1"/>
          <w:numId w:val="4"/>
        </w:numPr>
        <w:rPr>
          <w:sz w:val="22"/>
        </w:rPr>
      </w:pPr>
      <w:r>
        <w:rPr>
          <w:sz w:val="22"/>
        </w:rPr>
        <w:t>DSS: There was a feeling at the last meeting that members didn’t fully understand why some decisions had been made and it was not clear how the final decisions were reached.</w:t>
      </w:r>
      <w:r w:rsidR="00EA00D5">
        <w:rPr>
          <w:sz w:val="22"/>
        </w:rPr>
        <w:t xml:space="preserve">  Within the education sector there is a lot of emphasis on level 4/5 qualifications and it was not clear from the presentation given at the meeting whether these w</w:t>
      </w:r>
      <w:r w:rsidR="008F205D">
        <w:rPr>
          <w:sz w:val="22"/>
        </w:rPr>
        <w:t>ere being regarded as graduates?</w:t>
      </w:r>
    </w:p>
    <w:p w14:paraId="59A72DA6" w14:textId="709EC7B4" w:rsidR="00F94B61" w:rsidRDefault="00F94B61" w:rsidP="00EC16C8">
      <w:pPr>
        <w:pStyle w:val="ListParagraph"/>
        <w:numPr>
          <w:ilvl w:val="1"/>
          <w:numId w:val="4"/>
        </w:numPr>
        <w:rPr>
          <w:sz w:val="22"/>
        </w:rPr>
      </w:pPr>
      <w:r>
        <w:rPr>
          <w:sz w:val="22"/>
        </w:rPr>
        <w:t>BH: There was also a question around the institution in which degrees are obtained with it being possible to obtain a level 7 qualification at a college of further education.</w:t>
      </w:r>
    </w:p>
    <w:p w14:paraId="53266846" w14:textId="19DC1312" w:rsidR="00E86856" w:rsidRDefault="00F4747D" w:rsidP="00F4747D">
      <w:pPr>
        <w:pStyle w:val="ListParagraph"/>
        <w:numPr>
          <w:ilvl w:val="1"/>
          <w:numId w:val="4"/>
        </w:numPr>
        <w:rPr>
          <w:sz w:val="22"/>
        </w:rPr>
      </w:pPr>
      <w:r>
        <w:rPr>
          <w:sz w:val="22"/>
        </w:rPr>
        <w:t>PE</w:t>
      </w:r>
      <w:r w:rsidR="00E86856">
        <w:rPr>
          <w:sz w:val="22"/>
        </w:rPr>
        <w:t>: A lot of time was spent on the issue of</w:t>
      </w:r>
      <w:r w:rsidR="00EA00D5">
        <w:rPr>
          <w:sz w:val="22"/>
        </w:rPr>
        <w:t xml:space="preserve"> defining graduate jobs</w:t>
      </w:r>
      <w:r w:rsidR="00E86856">
        <w:rPr>
          <w:sz w:val="22"/>
        </w:rPr>
        <w:t xml:space="preserve">, pulling together various research strands and reconciling </w:t>
      </w:r>
      <w:r w:rsidR="00EA00D5">
        <w:rPr>
          <w:sz w:val="22"/>
        </w:rPr>
        <w:t>it was difficult</w:t>
      </w:r>
      <w:r w:rsidR="00E86856">
        <w:rPr>
          <w:sz w:val="22"/>
        </w:rPr>
        <w:t xml:space="preserve">. </w:t>
      </w:r>
      <w:r w:rsidR="00EA00D5">
        <w:rPr>
          <w:sz w:val="22"/>
        </w:rPr>
        <w:t>The working group also looked closely at what employers were telling us about whether a degree was a requirement for a job.</w:t>
      </w:r>
      <w:r w:rsidR="00E86856">
        <w:rPr>
          <w:sz w:val="22"/>
        </w:rPr>
        <w:t xml:space="preserve"> We are confident that the decisions reached will stand over the next 10 years.</w:t>
      </w:r>
    </w:p>
    <w:p w14:paraId="2BCDE1FC" w14:textId="127B1AF8" w:rsidR="00E86856" w:rsidRDefault="00E86856" w:rsidP="00F4747D">
      <w:pPr>
        <w:pStyle w:val="ListParagraph"/>
        <w:numPr>
          <w:ilvl w:val="1"/>
          <w:numId w:val="4"/>
        </w:numPr>
        <w:rPr>
          <w:sz w:val="22"/>
        </w:rPr>
      </w:pPr>
      <w:r>
        <w:rPr>
          <w:sz w:val="22"/>
        </w:rPr>
        <w:t>MM: As well as looking at whether a degree was a requirement or not, skill levels were taken into consideration.</w:t>
      </w:r>
    </w:p>
    <w:p w14:paraId="17C65378" w14:textId="77777777" w:rsidR="003773D4" w:rsidRPr="003773D4" w:rsidRDefault="003773D4" w:rsidP="003773D4">
      <w:pPr>
        <w:ind w:left="1080"/>
        <w:rPr>
          <w:sz w:val="22"/>
        </w:rPr>
      </w:pPr>
    </w:p>
    <w:p w14:paraId="533915CF" w14:textId="3D8BBF7A" w:rsidR="00EA00D5" w:rsidRPr="003773D4" w:rsidRDefault="003773D4" w:rsidP="003773D4">
      <w:pPr>
        <w:pStyle w:val="ListParagraph"/>
        <w:numPr>
          <w:ilvl w:val="0"/>
          <w:numId w:val="1"/>
        </w:numPr>
        <w:rPr>
          <w:sz w:val="22"/>
        </w:rPr>
      </w:pPr>
      <w:r>
        <w:rPr>
          <w:b/>
          <w:sz w:val="22"/>
        </w:rPr>
        <w:lastRenderedPageBreak/>
        <w:t xml:space="preserve">SOC Revision Presentation </w:t>
      </w:r>
      <w:r w:rsidRPr="003773D4">
        <w:rPr>
          <w:b/>
          <w:sz w:val="22"/>
        </w:rPr>
        <w:t xml:space="preserve">– </w:t>
      </w:r>
      <w:r>
        <w:rPr>
          <w:b/>
          <w:sz w:val="22"/>
        </w:rPr>
        <w:t>Richard Boreham</w:t>
      </w:r>
    </w:p>
    <w:p w14:paraId="353D79EC" w14:textId="1E9E4DC5" w:rsidR="003773D4" w:rsidRDefault="003773D4" w:rsidP="003773D4">
      <w:pPr>
        <w:rPr>
          <w:sz w:val="22"/>
        </w:rPr>
      </w:pPr>
    </w:p>
    <w:p w14:paraId="0E28CBD1" w14:textId="418FEAB2" w:rsidR="003773D4" w:rsidRDefault="003773D4" w:rsidP="003773D4">
      <w:pPr>
        <w:rPr>
          <w:sz w:val="22"/>
        </w:rPr>
      </w:pPr>
      <w:r>
        <w:rPr>
          <w:sz w:val="22"/>
        </w:rPr>
        <w:t>The presentation w</w:t>
      </w:r>
      <w:r w:rsidR="006E3380">
        <w:rPr>
          <w:sz w:val="22"/>
        </w:rPr>
        <w:t xml:space="preserve">as an overview of the revision process </w:t>
      </w:r>
      <w:r>
        <w:rPr>
          <w:sz w:val="22"/>
        </w:rPr>
        <w:t xml:space="preserve">which </w:t>
      </w:r>
      <w:r w:rsidR="006E3380">
        <w:rPr>
          <w:sz w:val="22"/>
        </w:rPr>
        <w:t xml:space="preserve">looked at </w:t>
      </w:r>
      <w:r>
        <w:rPr>
          <w:sz w:val="22"/>
        </w:rPr>
        <w:t xml:space="preserve">issues raised as part of the consultation. </w:t>
      </w:r>
    </w:p>
    <w:p w14:paraId="342BB02D" w14:textId="77777777" w:rsidR="003773D4" w:rsidRDefault="003773D4" w:rsidP="003773D4">
      <w:pPr>
        <w:rPr>
          <w:sz w:val="22"/>
        </w:rPr>
      </w:pPr>
    </w:p>
    <w:p w14:paraId="3A1A3A6F" w14:textId="66A47810" w:rsidR="003773D4" w:rsidRDefault="003773D4" w:rsidP="003773D4">
      <w:pPr>
        <w:rPr>
          <w:sz w:val="22"/>
        </w:rPr>
      </w:pPr>
      <w:r>
        <w:rPr>
          <w:sz w:val="22"/>
        </w:rPr>
        <w:t>The</w:t>
      </w:r>
      <w:r w:rsidR="006E3380">
        <w:rPr>
          <w:sz w:val="22"/>
        </w:rPr>
        <w:t xml:space="preserve"> key changes when looking at each </w:t>
      </w:r>
      <w:r w:rsidR="00223EFF">
        <w:rPr>
          <w:sz w:val="22"/>
        </w:rPr>
        <w:t>unit group</w:t>
      </w:r>
      <w:r w:rsidR="006E3380">
        <w:rPr>
          <w:sz w:val="22"/>
        </w:rPr>
        <w:t xml:space="preserve"> were merging or splitting </w:t>
      </w:r>
      <w:r w:rsidR="00223EFF">
        <w:rPr>
          <w:sz w:val="22"/>
        </w:rPr>
        <w:t xml:space="preserve">them, </w:t>
      </w:r>
      <w:r w:rsidR="006E3380">
        <w:rPr>
          <w:sz w:val="22"/>
        </w:rPr>
        <w:t>with s</w:t>
      </w:r>
      <w:r>
        <w:rPr>
          <w:sz w:val="22"/>
        </w:rPr>
        <w:t xml:space="preserve">tatistical viability </w:t>
      </w:r>
      <w:r w:rsidR="006E3380">
        <w:rPr>
          <w:sz w:val="22"/>
        </w:rPr>
        <w:t xml:space="preserve">being the </w:t>
      </w:r>
      <w:r w:rsidR="005A527E">
        <w:rPr>
          <w:sz w:val="22"/>
        </w:rPr>
        <w:t xml:space="preserve">main criteria.  Census and </w:t>
      </w:r>
      <w:r w:rsidR="00223EFF">
        <w:rPr>
          <w:sz w:val="22"/>
        </w:rPr>
        <w:t xml:space="preserve">LFS data was used to </w:t>
      </w:r>
      <w:r w:rsidR="005A527E">
        <w:rPr>
          <w:sz w:val="22"/>
        </w:rPr>
        <w:t>estimate whether a unit group would meet the 10,000 thr</w:t>
      </w:r>
      <w:r w:rsidR="00223EFF">
        <w:rPr>
          <w:sz w:val="22"/>
        </w:rPr>
        <w:t xml:space="preserve">eshold, as well as </w:t>
      </w:r>
      <w:r w:rsidR="005A527E">
        <w:rPr>
          <w:sz w:val="22"/>
        </w:rPr>
        <w:t xml:space="preserve">looking at the job titles in the unit group to see if they were distinct enough to have their own unit group. </w:t>
      </w:r>
      <w:r w:rsidR="00BD2DDC">
        <w:rPr>
          <w:sz w:val="22"/>
        </w:rPr>
        <w:t>Trends over time were also considered to see if unit groups were i</w:t>
      </w:r>
      <w:r w:rsidR="005A527E">
        <w:rPr>
          <w:sz w:val="22"/>
        </w:rPr>
        <w:t xml:space="preserve">ncreasing or decreasing to </w:t>
      </w:r>
      <w:r w:rsidR="00BD2DDC">
        <w:rPr>
          <w:sz w:val="22"/>
        </w:rPr>
        <w:t>futureproof the classification. This resulted in</w:t>
      </w:r>
      <w:r w:rsidR="00223EFF">
        <w:rPr>
          <w:sz w:val="22"/>
        </w:rPr>
        <w:t xml:space="preserve"> </w:t>
      </w:r>
      <w:r w:rsidR="005A527E">
        <w:rPr>
          <w:sz w:val="22"/>
        </w:rPr>
        <w:t xml:space="preserve">an increase of approximately 30 </w:t>
      </w:r>
      <w:r w:rsidR="00223EFF">
        <w:rPr>
          <w:sz w:val="22"/>
        </w:rPr>
        <w:t>unit groups.</w:t>
      </w:r>
      <w:r w:rsidR="00BD2DDC">
        <w:rPr>
          <w:sz w:val="22"/>
        </w:rPr>
        <w:t xml:space="preserve"> </w:t>
      </w:r>
      <w:r w:rsidR="00223EFF">
        <w:rPr>
          <w:sz w:val="22"/>
        </w:rPr>
        <w:t xml:space="preserve">There were no changes to the </w:t>
      </w:r>
      <w:r w:rsidR="00BD2DDC">
        <w:rPr>
          <w:sz w:val="22"/>
        </w:rPr>
        <w:t xml:space="preserve">main </w:t>
      </w:r>
      <w:r w:rsidR="00223EFF">
        <w:rPr>
          <w:sz w:val="22"/>
        </w:rPr>
        <w:t>structure of the SOC, however some additional sub-major and minor groups were added.</w:t>
      </w:r>
    </w:p>
    <w:p w14:paraId="43CE90F6" w14:textId="669C0136" w:rsidR="00BD2DDC" w:rsidRDefault="00BD2DDC" w:rsidP="003773D4">
      <w:pPr>
        <w:rPr>
          <w:sz w:val="22"/>
        </w:rPr>
      </w:pPr>
    </w:p>
    <w:p w14:paraId="09E75847" w14:textId="2F67ABC2" w:rsidR="00BD2DDC" w:rsidRDefault="00B93BCB" w:rsidP="00BD2DDC">
      <w:pPr>
        <w:pStyle w:val="ListParagraph"/>
        <w:numPr>
          <w:ilvl w:val="0"/>
          <w:numId w:val="5"/>
        </w:numPr>
        <w:rPr>
          <w:sz w:val="22"/>
        </w:rPr>
      </w:pPr>
      <w:r>
        <w:rPr>
          <w:sz w:val="22"/>
        </w:rPr>
        <w:t>PH:</w:t>
      </w:r>
      <w:r w:rsidR="00BD2DDC">
        <w:rPr>
          <w:sz w:val="22"/>
        </w:rPr>
        <w:t xml:space="preserve"> Why is the threshold 10,000?</w:t>
      </w:r>
    </w:p>
    <w:p w14:paraId="3E0EC52A" w14:textId="241AB4AB" w:rsidR="00BD2DDC" w:rsidRDefault="00B93BCB" w:rsidP="00BD2DDC">
      <w:pPr>
        <w:pStyle w:val="ListParagraph"/>
        <w:numPr>
          <w:ilvl w:val="0"/>
          <w:numId w:val="5"/>
        </w:numPr>
        <w:rPr>
          <w:sz w:val="22"/>
        </w:rPr>
      </w:pPr>
      <w:r>
        <w:rPr>
          <w:sz w:val="22"/>
        </w:rPr>
        <w:t xml:space="preserve">PE: </w:t>
      </w:r>
      <w:r w:rsidR="00BD2DDC">
        <w:rPr>
          <w:sz w:val="22"/>
        </w:rPr>
        <w:t>If it was any lower there is a risk of disclosure so statistics could not be published.  This issue is being addressed by the SOC Extension project and there may be scope in future to have more detailed statistics.</w:t>
      </w:r>
    </w:p>
    <w:p w14:paraId="08DAAEB3" w14:textId="77777777" w:rsidR="00BD2DDC" w:rsidRPr="00BD2DDC" w:rsidRDefault="00BD2DDC" w:rsidP="00BD2DDC">
      <w:pPr>
        <w:rPr>
          <w:sz w:val="22"/>
        </w:rPr>
      </w:pPr>
    </w:p>
    <w:p w14:paraId="2334F3A6" w14:textId="3E740082" w:rsidR="00BD2DDC" w:rsidRDefault="00BD2DDC" w:rsidP="00BD2DDC">
      <w:pPr>
        <w:rPr>
          <w:b/>
          <w:sz w:val="22"/>
        </w:rPr>
      </w:pPr>
      <w:r>
        <w:rPr>
          <w:b/>
          <w:sz w:val="22"/>
        </w:rPr>
        <w:t>Action Point 3 – Peter Elias to speak to Peter Hounsome further about the SOC extension work and statistical viability.</w:t>
      </w:r>
    </w:p>
    <w:p w14:paraId="0344531F" w14:textId="6F358235" w:rsidR="005A527E" w:rsidRDefault="005A527E" w:rsidP="00BD2DDC">
      <w:pPr>
        <w:rPr>
          <w:b/>
          <w:sz w:val="22"/>
        </w:rPr>
      </w:pPr>
    </w:p>
    <w:p w14:paraId="72D12310" w14:textId="0A56079D" w:rsidR="005A527E" w:rsidRDefault="005A527E" w:rsidP="00BD2DDC">
      <w:pPr>
        <w:rPr>
          <w:sz w:val="22"/>
        </w:rPr>
      </w:pPr>
      <w:r>
        <w:rPr>
          <w:sz w:val="22"/>
        </w:rPr>
        <w:t xml:space="preserve">There were 3 major </w:t>
      </w:r>
      <w:r w:rsidR="000E6641">
        <w:rPr>
          <w:sz w:val="22"/>
        </w:rPr>
        <w:t>issues</w:t>
      </w:r>
      <w:r>
        <w:rPr>
          <w:sz w:val="22"/>
        </w:rPr>
        <w:t xml:space="preserve"> that contributed to the changes made in the classification:</w:t>
      </w:r>
    </w:p>
    <w:p w14:paraId="6BF4ECFE" w14:textId="2E34CB21" w:rsidR="005A527E" w:rsidRDefault="005A527E" w:rsidP="00BD2DDC">
      <w:pPr>
        <w:rPr>
          <w:sz w:val="22"/>
        </w:rPr>
      </w:pPr>
    </w:p>
    <w:p w14:paraId="3A617865" w14:textId="221B6363" w:rsidR="005A527E" w:rsidRDefault="005A527E" w:rsidP="005A527E">
      <w:pPr>
        <w:pStyle w:val="ListParagraph"/>
        <w:numPr>
          <w:ilvl w:val="0"/>
          <w:numId w:val="7"/>
        </w:numPr>
        <w:rPr>
          <w:sz w:val="22"/>
        </w:rPr>
      </w:pPr>
      <w:r>
        <w:rPr>
          <w:sz w:val="22"/>
        </w:rPr>
        <w:t xml:space="preserve">Graduates: </w:t>
      </w:r>
      <w:r w:rsidR="00502CB0">
        <w:rPr>
          <w:sz w:val="22"/>
        </w:rPr>
        <w:t xml:space="preserve">This resulted in </w:t>
      </w:r>
      <w:r w:rsidR="000E6641">
        <w:rPr>
          <w:sz w:val="22"/>
        </w:rPr>
        <w:t>6</w:t>
      </w:r>
      <w:r w:rsidR="00502CB0">
        <w:rPr>
          <w:sz w:val="22"/>
        </w:rPr>
        <w:t xml:space="preserve"> unit groups moving from major group 3 to major group 2, 1 unit group moving from major group 6 to major group 2 and 1 unit group moving from major group 6 to major group 3.</w:t>
      </w:r>
    </w:p>
    <w:p w14:paraId="408FF3C1" w14:textId="60355CC8" w:rsidR="00502CB0" w:rsidRDefault="00502CB0" w:rsidP="005A527E">
      <w:pPr>
        <w:pStyle w:val="ListParagraph"/>
        <w:numPr>
          <w:ilvl w:val="0"/>
          <w:numId w:val="7"/>
        </w:numPr>
        <w:rPr>
          <w:sz w:val="22"/>
        </w:rPr>
      </w:pPr>
      <w:r>
        <w:rPr>
          <w:sz w:val="22"/>
        </w:rPr>
        <w:t xml:space="preserve">IT: </w:t>
      </w:r>
      <w:r w:rsidR="000E6641">
        <w:rPr>
          <w:sz w:val="22"/>
        </w:rPr>
        <w:t xml:space="preserve">Looked at </w:t>
      </w:r>
      <w:r w:rsidR="00CC580B">
        <w:rPr>
          <w:sz w:val="22"/>
        </w:rPr>
        <w:t xml:space="preserve">whether all the roles within this sector should be restructured, however found that most of the </w:t>
      </w:r>
      <w:r w:rsidR="000E6641">
        <w:rPr>
          <w:sz w:val="22"/>
        </w:rPr>
        <w:t>jobs fitted in</w:t>
      </w:r>
      <w:r w:rsidR="00CC580B">
        <w:rPr>
          <w:sz w:val="22"/>
        </w:rPr>
        <w:t xml:space="preserve">to existing occupations.  </w:t>
      </w:r>
      <w:r w:rsidR="00A86477">
        <w:rPr>
          <w:sz w:val="22"/>
        </w:rPr>
        <w:t>However,</w:t>
      </w:r>
      <w:r w:rsidR="00D77590">
        <w:rPr>
          <w:sz w:val="22"/>
        </w:rPr>
        <w:t xml:space="preserve"> </w:t>
      </w:r>
      <w:r w:rsidR="00CC580B">
        <w:rPr>
          <w:sz w:val="22"/>
        </w:rPr>
        <w:t>7 new unit groups have been added and changes made to the wording of existing unit groups.</w:t>
      </w:r>
    </w:p>
    <w:p w14:paraId="06A46E3D" w14:textId="7981FA4D" w:rsidR="00CC580B" w:rsidRDefault="00CC580B" w:rsidP="005A527E">
      <w:pPr>
        <w:pStyle w:val="ListParagraph"/>
        <w:numPr>
          <w:ilvl w:val="0"/>
          <w:numId w:val="7"/>
        </w:numPr>
        <w:rPr>
          <w:sz w:val="22"/>
        </w:rPr>
      </w:pPr>
      <w:r>
        <w:rPr>
          <w:sz w:val="22"/>
        </w:rPr>
        <w:t xml:space="preserve">Disaggregation: Taking on board </w:t>
      </w:r>
      <w:r w:rsidR="00266086">
        <w:rPr>
          <w:sz w:val="22"/>
        </w:rPr>
        <w:t xml:space="preserve">comments from the consultation for further disaggregation the working group looked predominantly at the ‘not elsewhere classified’ </w:t>
      </w:r>
      <w:r w:rsidR="009E2BB9">
        <w:rPr>
          <w:sz w:val="22"/>
        </w:rPr>
        <w:t>groups.  This was the main driver behind the increase in the number of unit groups in the SOC2020 structure.</w:t>
      </w:r>
    </w:p>
    <w:p w14:paraId="0A6C598E" w14:textId="54BB106A" w:rsidR="009E2BB9" w:rsidRDefault="009E2BB9" w:rsidP="009E2BB9">
      <w:pPr>
        <w:rPr>
          <w:sz w:val="22"/>
        </w:rPr>
      </w:pPr>
    </w:p>
    <w:p w14:paraId="2771824F" w14:textId="39B0DF4F" w:rsidR="009E2BB9" w:rsidRDefault="00D77590" w:rsidP="009E2BB9">
      <w:pPr>
        <w:rPr>
          <w:sz w:val="22"/>
        </w:rPr>
      </w:pPr>
      <w:r>
        <w:rPr>
          <w:sz w:val="22"/>
        </w:rPr>
        <w:t>In SOC2010 there</w:t>
      </w:r>
      <w:r w:rsidR="009E2BB9">
        <w:rPr>
          <w:sz w:val="22"/>
        </w:rPr>
        <w:t xml:space="preserve"> were lots of documents with repetitive content.  This time round it is intended to publish 1 overarching commentary on the landing page supported by additional tables.</w:t>
      </w:r>
    </w:p>
    <w:p w14:paraId="21510A07" w14:textId="07E11DFF" w:rsidR="009E2BB9" w:rsidRDefault="00B93BCB" w:rsidP="009E2BB9">
      <w:pPr>
        <w:pStyle w:val="ListParagraph"/>
        <w:numPr>
          <w:ilvl w:val="0"/>
          <w:numId w:val="8"/>
        </w:numPr>
        <w:rPr>
          <w:sz w:val="22"/>
        </w:rPr>
      </w:pPr>
      <w:r>
        <w:rPr>
          <w:sz w:val="22"/>
        </w:rPr>
        <w:t xml:space="preserve">DSS: </w:t>
      </w:r>
      <w:r w:rsidR="009E2BB9">
        <w:rPr>
          <w:sz w:val="22"/>
        </w:rPr>
        <w:t>Can we expand more on the Skills levels/Apprenticeships document listed on the slide?</w:t>
      </w:r>
    </w:p>
    <w:p w14:paraId="3DFA1D85" w14:textId="1F4BF78E" w:rsidR="009E2BB9" w:rsidRDefault="00B93BCB" w:rsidP="009E2BB9">
      <w:pPr>
        <w:pStyle w:val="ListParagraph"/>
        <w:numPr>
          <w:ilvl w:val="0"/>
          <w:numId w:val="8"/>
        </w:numPr>
        <w:rPr>
          <w:sz w:val="22"/>
        </w:rPr>
      </w:pPr>
      <w:r>
        <w:rPr>
          <w:sz w:val="22"/>
        </w:rPr>
        <w:t>PE:</w:t>
      </w:r>
      <w:r w:rsidR="009E2BB9">
        <w:rPr>
          <w:sz w:val="22"/>
        </w:rPr>
        <w:t xml:space="preserve"> This is building on work to map apprenticeship routes/pathway</w:t>
      </w:r>
      <w:r w:rsidR="00D77590">
        <w:rPr>
          <w:sz w:val="22"/>
        </w:rPr>
        <w:t>s</w:t>
      </w:r>
      <w:r w:rsidR="009E2BB9">
        <w:rPr>
          <w:sz w:val="22"/>
        </w:rPr>
        <w:t xml:space="preserve">, </w:t>
      </w:r>
      <w:r w:rsidR="00D77590">
        <w:rPr>
          <w:sz w:val="22"/>
        </w:rPr>
        <w:t xml:space="preserve">however </w:t>
      </w:r>
      <w:r w:rsidR="009E2BB9">
        <w:rPr>
          <w:sz w:val="22"/>
        </w:rPr>
        <w:t>this will not be published with the ot</w:t>
      </w:r>
      <w:r w:rsidR="0019108B">
        <w:rPr>
          <w:sz w:val="22"/>
        </w:rPr>
        <w:t xml:space="preserve">her products straight away as </w:t>
      </w:r>
      <w:r w:rsidR="00D77590">
        <w:rPr>
          <w:sz w:val="22"/>
        </w:rPr>
        <w:t xml:space="preserve">the </w:t>
      </w:r>
      <w:r w:rsidR="0019108B">
        <w:rPr>
          <w:sz w:val="22"/>
        </w:rPr>
        <w:t xml:space="preserve">work is complex. </w:t>
      </w:r>
      <w:r w:rsidR="00D77590">
        <w:rPr>
          <w:sz w:val="22"/>
        </w:rPr>
        <w:t>This will involve l</w:t>
      </w:r>
      <w:r w:rsidR="0019108B">
        <w:rPr>
          <w:sz w:val="22"/>
        </w:rPr>
        <w:t xml:space="preserve">ooking at job titles that are referenced in apprenticeship routes to see if </w:t>
      </w:r>
      <w:r w:rsidR="002A6AA7">
        <w:rPr>
          <w:sz w:val="22"/>
        </w:rPr>
        <w:t xml:space="preserve">the existing </w:t>
      </w:r>
      <w:r w:rsidR="0019108B">
        <w:rPr>
          <w:sz w:val="22"/>
        </w:rPr>
        <w:t>index reflects the same job titles. Whilst the current descriptio</w:t>
      </w:r>
      <w:r w:rsidR="002A6AA7">
        <w:rPr>
          <w:sz w:val="22"/>
        </w:rPr>
        <w:t>ns give some detail about qualification requirement</w:t>
      </w:r>
      <w:r w:rsidR="00D77590">
        <w:rPr>
          <w:sz w:val="22"/>
        </w:rPr>
        <w:t>s</w:t>
      </w:r>
      <w:r w:rsidR="002A6AA7">
        <w:rPr>
          <w:sz w:val="22"/>
        </w:rPr>
        <w:t>,</w:t>
      </w:r>
      <w:r w:rsidR="0019108B">
        <w:rPr>
          <w:sz w:val="22"/>
        </w:rPr>
        <w:t xml:space="preserve"> the skill levels/apprenticeships document </w:t>
      </w:r>
      <w:r w:rsidR="002A6AA7">
        <w:rPr>
          <w:sz w:val="22"/>
        </w:rPr>
        <w:t>will elaborate more.</w:t>
      </w:r>
    </w:p>
    <w:p w14:paraId="4C5C1C57" w14:textId="006E1948" w:rsidR="0019108B" w:rsidRDefault="00B93BCB" w:rsidP="009E2BB9">
      <w:pPr>
        <w:pStyle w:val="ListParagraph"/>
        <w:numPr>
          <w:ilvl w:val="0"/>
          <w:numId w:val="8"/>
        </w:numPr>
        <w:rPr>
          <w:sz w:val="22"/>
        </w:rPr>
      </w:pPr>
      <w:r>
        <w:rPr>
          <w:sz w:val="22"/>
        </w:rPr>
        <w:t>BH:</w:t>
      </w:r>
      <w:r w:rsidR="0019108B">
        <w:rPr>
          <w:sz w:val="22"/>
        </w:rPr>
        <w:t xml:space="preserve"> BEIS </w:t>
      </w:r>
      <w:r w:rsidR="002A6AA7">
        <w:rPr>
          <w:sz w:val="22"/>
        </w:rPr>
        <w:t>have created their own SOC to skill level document which has been supplied to ONS.</w:t>
      </w:r>
    </w:p>
    <w:p w14:paraId="3537B628" w14:textId="618C2490" w:rsidR="002A6AA7" w:rsidRDefault="00B93BCB" w:rsidP="009E2BB9">
      <w:pPr>
        <w:pStyle w:val="ListParagraph"/>
        <w:numPr>
          <w:ilvl w:val="0"/>
          <w:numId w:val="8"/>
        </w:numPr>
        <w:rPr>
          <w:sz w:val="22"/>
        </w:rPr>
      </w:pPr>
      <w:r>
        <w:rPr>
          <w:sz w:val="22"/>
        </w:rPr>
        <w:t>MM:</w:t>
      </w:r>
      <w:r w:rsidR="002A6AA7">
        <w:rPr>
          <w:sz w:val="22"/>
        </w:rPr>
        <w:t xml:space="preserve"> The mapping was considered too complex and outside the remit of the revision</w:t>
      </w:r>
      <w:r w:rsidR="00D77590">
        <w:rPr>
          <w:sz w:val="22"/>
        </w:rPr>
        <w:t xml:space="preserve"> project, however the BEIS </w:t>
      </w:r>
      <w:r w:rsidR="00A86477">
        <w:rPr>
          <w:sz w:val="22"/>
        </w:rPr>
        <w:t>document has</w:t>
      </w:r>
      <w:r w:rsidR="00D77590">
        <w:rPr>
          <w:sz w:val="22"/>
        </w:rPr>
        <w:t xml:space="preserve"> been forwarded to PE</w:t>
      </w:r>
      <w:r w:rsidR="00F65BF5">
        <w:rPr>
          <w:sz w:val="22"/>
        </w:rPr>
        <w:t xml:space="preserve"> who would look at it as part of the ongoing work.</w:t>
      </w:r>
    </w:p>
    <w:p w14:paraId="753B5B88" w14:textId="77777777" w:rsidR="00BA160A" w:rsidRPr="00BA160A" w:rsidRDefault="00BA160A" w:rsidP="00BA160A">
      <w:pPr>
        <w:rPr>
          <w:sz w:val="22"/>
        </w:rPr>
      </w:pPr>
    </w:p>
    <w:p w14:paraId="7198B651" w14:textId="51681AD8" w:rsidR="00BA160A" w:rsidRDefault="00BA160A" w:rsidP="00BA160A">
      <w:pPr>
        <w:rPr>
          <w:b/>
          <w:sz w:val="22"/>
        </w:rPr>
      </w:pPr>
    </w:p>
    <w:p w14:paraId="21DAB690" w14:textId="77777777" w:rsidR="00032F78" w:rsidRPr="00BA160A" w:rsidRDefault="00032F78" w:rsidP="00BA160A">
      <w:pPr>
        <w:rPr>
          <w:b/>
          <w:sz w:val="22"/>
        </w:rPr>
      </w:pPr>
    </w:p>
    <w:p w14:paraId="07420315" w14:textId="0780940F" w:rsidR="009E2BB9" w:rsidRPr="00BA160A" w:rsidRDefault="00BA160A" w:rsidP="009E2BB9">
      <w:pPr>
        <w:pStyle w:val="ListParagraph"/>
        <w:numPr>
          <w:ilvl w:val="0"/>
          <w:numId w:val="1"/>
        </w:numPr>
        <w:rPr>
          <w:b/>
          <w:sz w:val="22"/>
        </w:rPr>
      </w:pPr>
      <w:r w:rsidRPr="00BA160A">
        <w:rPr>
          <w:b/>
          <w:sz w:val="22"/>
        </w:rPr>
        <w:lastRenderedPageBreak/>
        <w:t>Example Volume 1 new format – Michaela Morris</w:t>
      </w:r>
    </w:p>
    <w:p w14:paraId="76E8C3E8" w14:textId="5AB09CFB" w:rsidR="009E2BB9" w:rsidRDefault="009E2BB9" w:rsidP="009E2BB9">
      <w:pPr>
        <w:rPr>
          <w:sz w:val="22"/>
        </w:rPr>
      </w:pPr>
    </w:p>
    <w:p w14:paraId="44833335" w14:textId="6F55851D" w:rsidR="009E2BB9" w:rsidRDefault="00BA160A" w:rsidP="009E2BB9">
      <w:pPr>
        <w:rPr>
          <w:sz w:val="22"/>
        </w:rPr>
      </w:pPr>
      <w:r>
        <w:rPr>
          <w:sz w:val="22"/>
        </w:rPr>
        <w:t>ONS are</w:t>
      </w:r>
      <w:r w:rsidR="009E2BB9">
        <w:rPr>
          <w:sz w:val="22"/>
        </w:rPr>
        <w:t xml:space="preserve"> moving away from publishing PDF documents</w:t>
      </w:r>
      <w:r w:rsidR="00D77590">
        <w:rPr>
          <w:sz w:val="22"/>
        </w:rPr>
        <w:t>,</w:t>
      </w:r>
      <w:r w:rsidR="009E2BB9">
        <w:rPr>
          <w:sz w:val="22"/>
        </w:rPr>
        <w:t xml:space="preserve"> so</w:t>
      </w:r>
      <w:r w:rsidR="0019108B">
        <w:rPr>
          <w:sz w:val="22"/>
        </w:rPr>
        <w:t xml:space="preserve"> Volume 1 </w:t>
      </w:r>
      <w:r w:rsidR="009E2BB9">
        <w:rPr>
          <w:sz w:val="22"/>
        </w:rPr>
        <w:t xml:space="preserve">will now be published as </w:t>
      </w:r>
      <w:r>
        <w:rPr>
          <w:sz w:val="22"/>
        </w:rPr>
        <w:t>an excel or csv file</w:t>
      </w:r>
      <w:r w:rsidR="009E2BB9">
        <w:rPr>
          <w:sz w:val="22"/>
        </w:rPr>
        <w:t xml:space="preserve"> which are machine readable.</w:t>
      </w:r>
      <w:r>
        <w:rPr>
          <w:sz w:val="22"/>
        </w:rPr>
        <w:t xml:space="preserve"> It is also more user friendly as filters can be applied to search for specific job titles or tasks.  </w:t>
      </w:r>
      <w:r w:rsidR="00D77590">
        <w:rPr>
          <w:sz w:val="22"/>
        </w:rPr>
        <w:t>This will be</w:t>
      </w:r>
      <w:r>
        <w:rPr>
          <w:sz w:val="22"/>
        </w:rPr>
        <w:t xml:space="preserve"> available as a download from the HTML landing page.  </w:t>
      </w:r>
    </w:p>
    <w:p w14:paraId="621CD8F2" w14:textId="6BB22347" w:rsidR="00BA160A" w:rsidRDefault="00BA160A" w:rsidP="009E2BB9">
      <w:pPr>
        <w:rPr>
          <w:sz w:val="22"/>
        </w:rPr>
      </w:pPr>
      <w:r>
        <w:rPr>
          <w:sz w:val="22"/>
        </w:rPr>
        <w:t>This was supported by the steering group members.</w:t>
      </w:r>
    </w:p>
    <w:p w14:paraId="2C003D07" w14:textId="2031EE1E" w:rsidR="00BA160A" w:rsidRDefault="00BA160A" w:rsidP="009E2BB9">
      <w:pPr>
        <w:rPr>
          <w:sz w:val="22"/>
        </w:rPr>
      </w:pPr>
      <w:bookmarkStart w:id="1" w:name="_Hlk4482041"/>
    </w:p>
    <w:p w14:paraId="249AC497" w14:textId="62796FB4" w:rsidR="00BA160A" w:rsidRPr="00BA160A" w:rsidRDefault="00BA160A" w:rsidP="00BA160A">
      <w:pPr>
        <w:pStyle w:val="ListParagraph"/>
        <w:numPr>
          <w:ilvl w:val="0"/>
          <w:numId w:val="1"/>
        </w:numPr>
        <w:rPr>
          <w:b/>
          <w:sz w:val="22"/>
        </w:rPr>
      </w:pPr>
      <w:r>
        <w:rPr>
          <w:rFonts w:eastAsia="Times New Roman"/>
          <w:b/>
          <w:sz w:val="22"/>
        </w:rPr>
        <w:t xml:space="preserve">Sign off the final SOC2020 structure </w:t>
      </w:r>
      <w:bookmarkEnd w:id="1"/>
      <w:r>
        <w:rPr>
          <w:rFonts w:eastAsia="Times New Roman"/>
          <w:b/>
          <w:sz w:val="22"/>
        </w:rPr>
        <w:t>– Suzanne Fry</w:t>
      </w:r>
    </w:p>
    <w:p w14:paraId="67BF3A15" w14:textId="65AF9CF0" w:rsidR="00BA160A" w:rsidRDefault="00BA160A" w:rsidP="00BA160A">
      <w:pPr>
        <w:rPr>
          <w:b/>
          <w:sz w:val="22"/>
        </w:rPr>
      </w:pPr>
    </w:p>
    <w:p w14:paraId="1D2485DF" w14:textId="74EA645E" w:rsidR="00BA160A" w:rsidRDefault="00BA160A" w:rsidP="00BA160A">
      <w:pPr>
        <w:rPr>
          <w:sz w:val="22"/>
        </w:rPr>
      </w:pPr>
      <w:r>
        <w:rPr>
          <w:sz w:val="22"/>
        </w:rPr>
        <w:t>The final paper was circulated to stakeholders and steering group members on 4 March, on</w:t>
      </w:r>
      <w:r w:rsidR="001071BB">
        <w:rPr>
          <w:sz w:val="22"/>
        </w:rPr>
        <w:t>ly one response had been</w:t>
      </w:r>
      <w:r>
        <w:rPr>
          <w:sz w:val="22"/>
        </w:rPr>
        <w:t xml:space="preserve"> received which has been taken forward as</w:t>
      </w:r>
      <w:r w:rsidR="00D77590">
        <w:rPr>
          <w:sz w:val="22"/>
        </w:rPr>
        <w:t xml:space="preserve"> part of the SOC extension project</w:t>
      </w:r>
      <w:r>
        <w:rPr>
          <w:sz w:val="22"/>
        </w:rPr>
        <w:t xml:space="preserve"> work.</w:t>
      </w:r>
    </w:p>
    <w:p w14:paraId="469D5BEC" w14:textId="1DDC3BC9" w:rsidR="00BA160A" w:rsidRDefault="00BA160A" w:rsidP="00BA160A">
      <w:pPr>
        <w:rPr>
          <w:sz w:val="22"/>
        </w:rPr>
      </w:pPr>
    </w:p>
    <w:p w14:paraId="24EE59B3" w14:textId="6A5E221B" w:rsidR="00BA160A" w:rsidRDefault="00BA160A" w:rsidP="00BA160A">
      <w:pPr>
        <w:rPr>
          <w:sz w:val="22"/>
        </w:rPr>
      </w:pPr>
      <w:r>
        <w:rPr>
          <w:sz w:val="22"/>
        </w:rPr>
        <w:t xml:space="preserve">Apart from the graduates </w:t>
      </w:r>
      <w:r w:rsidR="00735431">
        <w:rPr>
          <w:sz w:val="22"/>
        </w:rPr>
        <w:t xml:space="preserve">proposals </w:t>
      </w:r>
      <w:r>
        <w:rPr>
          <w:sz w:val="22"/>
        </w:rPr>
        <w:t xml:space="preserve">the steering group had no other objections.  It was agreed that the graduates paper would be circulated to steering group members again, inviting comments and if required a further meeting </w:t>
      </w:r>
      <w:r w:rsidR="00735431">
        <w:rPr>
          <w:sz w:val="22"/>
        </w:rPr>
        <w:t xml:space="preserve">or teleconf </w:t>
      </w:r>
      <w:r w:rsidR="00DA1FE1">
        <w:rPr>
          <w:sz w:val="22"/>
        </w:rPr>
        <w:t xml:space="preserve">with those members who have an interest in the issue </w:t>
      </w:r>
      <w:r w:rsidR="00D77590">
        <w:rPr>
          <w:sz w:val="22"/>
        </w:rPr>
        <w:t>will</w:t>
      </w:r>
      <w:r>
        <w:rPr>
          <w:sz w:val="22"/>
        </w:rPr>
        <w:t xml:space="preserve"> be set up.</w:t>
      </w:r>
    </w:p>
    <w:p w14:paraId="7A37A288" w14:textId="436326A1" w:rsidR="00BA160A" w:rsidRDefault="00BA160A" w:rsidP="00BA160A">
      <w:pPr>
        <w:rPr>
          <w:sz w:val="22"/>
        </w:rPr>
      </w:pPr>
    </w:p>
    <w:p w14:paraId="65F95C5D" w14:textId="77777777" w:rsidR="00DA1FE1" w:rsidRDefault="00BA160A" w:rsidP="00BA160A">
      <w:pPr>
        <w:rPr>
          <w:sz w:val="22"/>
        </w:rPr>
      </w:pPr>
      <w:r>
        <w:rPr>
          <w:sz w:val="22"/>
        </w:rPr>
        <w:t>The steering group agreed to sign off the</w:t>
      </w:r>
      <w:r w:rsidR="00DA1FE1">
        <w:rPr>
          <w:sz w:val="22"/>
        </w:rPr>
        <w:t xml:space="preserve"> SOC2020 structure subject to the discussion over graduates.</w:t>
      </w:r>
    </w:p>
    <w:p w14:paraId="41198B5C" w14:textId="66F320CE" w:rsidR="00DA1FE1" w:rsidRDefault="00DA1FE1" w:rsidP="00BA160A">
      <w:pPr>
        <w:rPr>
          <w:sz w:val="22"/>
        </w:rPr>
      </w:pPr>
    </w:p>
    <w:p w14:paraId="24774B9F" w14:textId="7B9CA26E" w:rsidR="00282C7C" w:rsidRDefault="00DA1AA1" w:rsidP="00BA160A">
      <w:pPr>
        <w:rPr>
          <w:b/>
          <w:sz w:val="22"/>
        </w:rPr>
      </w:pPr>
      <w:r>
        <w:rPr>
          <w:b/>
          <w:sz w:val="22"/>
        </w:rPr>
        <w:t xml:space="preserve">Action Point 4 – ONS to </w:t>
      </w:r>
      <w:r w:rsidR="00282C7C">
        <w:rPr>
          <w:b/>
          <w:sz w:val="22"/>
        </w:rPr>
        <w:t>re-</w:t>
      </w:r>
      <w:r>
        <w:rPr>
          <w:b/>
          <w:sz w:val="22"/>
        </w:rPr>
        <w:t>circulate</w:t>
      </w:r>
      <w:r w:rsidR="00282C7C">
        <w:rPr>
          <w:b/>
          <w:sz w:val="22"/>
        </w:rPr>
        <w:t xml:space="preserve"> the report on profes</w:t>
      </w:r>
      <w:r w:rsidR="00255C79">
        <w:rPr>
          <w:b/>
          <w:sz w:val="22"/>
        </w:rPr>
        <w:t>sional occupations to steering g</w:t>
      </w:r>
      <w:r w:rsidR="00282C7C">
        <w:rPr>
          <w:b/>
          <w:sz w:val="22"/>
        </w:rPr>
        <w:t xml:space="preserve">roup members inviting </w:t>
      </w:r>
      <w:bookmarkStart w:id="2" w:name="_Hlk4484560"/>
      <w:r w:rsidR="00282C7C">
        <w:rPr>
          <w:b/>
          <w:sz w:val="22"/>
        </w:rPr>
        <w:t>comments.</w:t>
      </w:r>
    </w:p>
    <w:p w14:paraId="538E2CE2" w14:textId="010C0C49" w:rsidR="00282C7C" w:rsidRDefault="00282C7C" w:rsidP="00BA160A">
      <w:pPr>
        <w:rPr>
          <w:b/>
          <w:sz w:val="22"/>
        </w:rPr>
      </w:pPr>
    </w:p>
    <w:p w14:paraId="550619C4" w14:textId="43103D4A" w:rsidR="00282C7C" w:rsidRPr="00255C79" w:rsidRDefault="00282C7C" w:rsidP="00282C7C">
      <w:pPr>
        <w:pStyle w:val="ListParagraph"/>
        <w:numPr>
          <w:ilvl w:val="0"/>
          <w:numId w:val="1"/>
        </w:numPr>
        <w:rPr>
          <w:b/>
          <w:sz w:val="22"/>
        </w:rPr>
      </w:pPr>
      <w:r>
        <w:rPr>
          <w:rFonts w:eastAsia="Times New Roman"/>
          <w:b/>
          <w:sz w:val="22"/>
        </w:rPr>
        <w:t>Publication date of SOC2020 volumes 1 &amp; 2 – Michaela Morris</w:t>
      </w:r>
    </w:p>
    <w:bookmarkEnd w:id="2"/>
    <w:p w14:paraId="610C05F0" w14:textId="569EB289" w:rsidR="00255C79" w:rsidRDefault="00255C79" w:rsidP="00255C79">
      <w:pPr>
        <w:rPr>
          <w:b/>
          <w:sz w:val="22"/>
        </w:rPr>
      </w:pPr>
    </w:p>
    <w:p w14:paraId="21340CE2" w14:textId="11BC4321" w:rsidR="00255C79" w:rsidRDefault="00255C79" w:rsidP="00255C79">
      <w:pPr>
        <w:rPr>
          <w:sz w:val="22"/>
        </w:rPr>
      </w:pPr>
      <w:r w:rsidRPr="00255C79">
        <w:rPr>
          <w:sz w:val="22"/>
        </w:rPr>
        <w:t xml:space="preserve">ONS are aiming to publish </w:t>
      </w:r>
      <w:r>
        <w:rPr>
          <w:sz w:val="22"/>
        </w:rPr>
        <w:t xml:space="preserve">SOC2020 </w:t>
      </w:r>
      <w:r w:rsidRPr="00255C79">
        <w:rPr>
          <w:sz w:val="22"/>
        </w:rPr>
        <w:t>in the autumn of this year.  Once published it’s up to individual organisations on when they start using the index.</w:t>
      </w:r>
    </w:p>
    <w:p w14:paraId="7E681290" w14:textId="799D2CBF" w:rsidR="00255C79" w:rsidRDefault="00255C79" w:rsidP="00255C79">
      <w:pPr>
        <w:rPr>
          <w:sz w:val="22"/>
        </w:rPr>
      </w:pPr>
    </w:p>
    <w:p w14:paraId="1DCAA721" w14:textId="0CF28F44" w:rsidR="00255C79" w:rsidRDefault="00255C79" w:rsidP="00255C79">
      <w:pPr>
        <w:pStyle w:val="ListParagraph"/>
        <w:numPr>
          <w:ilvl w:val="0"/>
          <w:numId w:val="13"/>
        </w:numPr>
        <w:rPr>
          <w:sz w:val="22"/>
        </w:rPr>
      </w:pPr>
      <w:r>
        <w:rPr>
          <w:sz w:val="22"/>
        </w:rPr>
        <w:t xml:space="preserve">A question was raised on when ONS surveys would start using the new index, again this was up to each </w:t>
      </w:r>
      <w:r w:rsidR="00435838">
        <w:rPr>
          <w:sz w:val="22"/>
        </w:rPr>
        <w:t>survey on when they updated their systems</w:t>
      </w:r>
      <w:r>
        <w:rPr>
          <w:sz w:val="22"/>
        </w:rPr>
        <w:t xml:space="preserve">.  The Labour Force Survey </w:t>
      </w:r>
      <w:r w:rsidR="00435838">
        <w:rPr>
          <w:sz w:val="22"/>
        </w:rPr>
        <w:t>(LFS) will be testing soon in preparation for incorporating the new structure and index.</w:t>
      </w:r>
    </w:p>
    <w:p w14:paraId="1334D2B5" w14:textId="2BC971C1" w:rsidR="00435838" w:rsidRDefault="00435838" w:rsidP="00255C79">
      <w:pPr>
        <w:pStyle w:val="ListParagraph"/>
        <w:numPr>
          <w:ilvl w:val="0"/>
          <w:numId w:val="13"/>
        </w:numPr>
        <w:rPr>
          <w:sz w:val="22"/>
        </w:rPr>
      </w:pPr>
      <w:r>
        <w:rPr>
          <w:sz w:val="22"/>
        </w:rPr>
        <w:t>PE</w:t>
      </w:r>
      <w:r w:rsidR="003142A9">
        <w:rPr>
          <w:sz w:val="22"/>
        </w:rPr>
        <w:t xml:space="preserve">: </w:t>
      </w:r>
      <w:r>
        <w:rPr>
          <w:sz w:val="22"/>
        </w:rPr>
        <w:t>Will LFS dual code this time?</w:t>
      </w:r>
    </w:p>
    <w:p w14:paraId="0EF870CF" w14:textId="1D8318CE" w:rsidR="00435838" w:rsidRDefault="00435838" w:rsidP="00435838">
      <w:pPr>
        <w:rPr>
          <w:sz w:val="22"/>
        </w:rPr>
      </w:pPr>
    </w:p>
    <w:p w14:paraId="495B63C9" w14:textId="16519DED" w:rsidR="00435838" w:rsidRDefault="00435838" w:rsidP="00435838">
      <w:pPr>
        <w:rPr>
          <w:b/>
          <w:sz w:val="22"/>
        </w:rPr>
      </w:pPr>
      <w:r>
        <w:rPr>
          <w:b/>
          <w:sz w:val="22"/>
        </w:rPr>
        <w:t xml:space="preserve">Action Point 5 – ONS to talk to survey teams within ONS to establish when they will </w:t>
      </w:r>
      <w:r w:rsidR="0075576C">
        <w:rPr>
          <w:b/>
          <w:sz w:val="22"/>
        </w:rPr>
        <w:t xml:space="preserve">be incorporating the new structure </w:t>
      </w:r>
      <w:r>
        <w:rPr>
          <w:b/>
          <w:sz w:val="22"/>
        </w:rPr>
        <w:t xml:space="preserve">and </w:t>
      </w:r>
      <w:r w:rsidR="0075576C">
        <w:rPr>
          <w:b/>
          <w:sz w:val="22"/>
        </w:rPr>
        <w:t xml:space="preserve">to discuss dual coding with the LFS team. </w:t>
      </w:r>
    </w:p>
    <w:p w14:paraId="75641BAF" w14:textId="1C870063" w:rsidR="00435838" w:rsidRDefault="00435838" w:rsidP="00435838">
      <w:pPr>
        <w:rPr>
          <w:b/>
          <w:sz w:val="22"/>
        </w:rPr>
      </w:pPr>
    </w:p>
    <w:p w14:paraId="7D4DA197" w14:textId="54244A17" w:rsidR="00435838" w:rsidRPr="0075576C" w:rsidRDefault="00435838" w:rsidP="00435838">
      <w:pPr>
        <w:pStyle w:val="ListParagraph"/>
        <w:numPr>
          <w:ilvl w:val="0"/>
          <w:numId w:val="1"/>
        </w:numPr>
        <w:rPr>
          <w:b/>
          <w:sz w:val="22"/>
        </w:rPr>
      </w:pPr>
      <w:r>
        <w:rPr>
          <w:rFonts w:eastAsia="Times New Roman"/>
          <w:b/>
          <w:sz w:val="22"/>
        </w:rPr>
        <w:t>Any other business – Suzanne Fry</w:t>
      </w:r>
    </w:p>
    <w:p w14:paraId="0F3B28A7" w14:textId="0569EFE8" w:rsidR="0075576C" w:rsidRDefault="0075576C" w:rsidP="0075576C">
      <w:pPr>
        <w:rPr>
          <w:b/>
          <w:sz w:val="22"/>
        </w:rPr>
      </w:pPr>
    </w:p>
    <w:p w14:paraId="4C254091" w14:textId="077CB97A" w:rsidR="0075576C" w:rsidRDefault="0075576C" w:rsidP="0075576C">
      <w:pPr>
        <w:rPr>
          <w:sz w:val="22"/>
        </w:rPr>
      </w:pPr>
      <w:r>
        <w:rPr>
          <w:sz w:val="22"/>
        </w:rPr>
        <w:t>There was no other business.</w:t>
      </w:r>
    </w:p>
    <w:p w14:paraId="56E43178" w14:textId="0B4AB29F" w:rsidR="0075576C" w:rsidRDefault="0075576C" w:rsidP="0075576C">
      <w:pPr>
        <w:rPr>
          <w:sz w:val="22"/>
        </w:rPr>
      </w:pPr>
    </w:p>
    <w:p w14:paraId="4BB33210" w14:textId="2C286127" w:rsidR="0075576C" w:rsidRPr="0075576C" w:rsidRDefault="0075576C" w:rsidP="0075576C">
      <w:pPr>
        <w:rPr>
          <w:sz w:val="22"/>
        </w:rPr>
      </w:pPr>
      <w:r>
        <w:rPr>
          <w:sz w:val="22"/>
        </w:rPr>
        <w:t xml:space="preserve">Members were happy that future business </w:t>
      </w:r>
      <w:r w:rsidR="00674B95">
        <w:rPr>
          <w:sz w:val="22"/>
        </w:rPr>
        <w:t xml:space="preserve">and the final sign off </w:t>
      </w:r>
      <w:r w:rsidR="00D77590">
        <w:rPr>
          <w:sz w:val="22"/>
        </w:rPr>
        <w:t>can</w:t>
      </w:r>
      <w:r>
        <w:rPr>
          <w:sz w:val="22"/>
        </w:rPr>
        <w:t xml:space="preserve"> be conducted by correspondence</w:t>
      </w:r>
      <w:r w:rsidR="00674B95">
        <w:rPr>
          <w:sz w:val="22"/>
        </w:rPr>
        <w:t>.</w:t>
      </w:r>
    </w:p>
    <w:p w14:paraId="638E6D08" w14:textId="77777777" w:rsidR="00AD51BD" w:rsidRDefault="00C04DA4" w:rsidP="00735431"/>
    <w:sectPr w:rsidR="00AD51BD" w:rsidSect="009E6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DCE"/>
    <w:multiLevelType w:val="hybridMultilevel"/>
    <w:tmpl w:val="E0A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B0"/>
    <w:multiLevelType w:val="hybridMultilevel"/>
    <w:tmpl w:val="26F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1386"/>
    <w:multiLevelType w:val="multilevel"/>
    <w:tmpl w:val="0D32B3A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A420A0A"/>
    <w:multiLevelType w:val="hybridMultilevel"/>
    <w:tmpl w:val="99C21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826EBE"/>
    <w:multiLevelType w:val="multilevel"/>
    <w:tmpl w:val="0D32B3A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FF17B83"/>
    <w:multiLevelType w:val="multilevel"/>
    <w:tmpl w:val="E6DC1722"/>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7D7CF6"/>
    <w:multiLevelType w:val="hybridMultilevel"/>
    <w:tmpl w:val="0D32B3A2"/>
    <w:lvl w:ilvl="0" w:tplc="7FB60C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F96F82"/>
    <w:multiLevelType w:val="hybridMultilevel"/>
    <w:tmpl w:val="2BB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A2A37"/>
    <w:multiLevelType w:val="hybridMultilevel"/>
    <w:tmpl w:val="34005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E0AD7"/>
    <w:multiLevelType w:val="multilevel"/>
    <w:tmpl w:val="0D32B3A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EFE7854"/>
    <w:multiLevelType w:val="hybridMultilevel"/>
    <w:tmpl w:val="09C64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A5C0A"/>
    <w:multiLevelType w:val="hybridMultilevel"/>
    <w:tmpl w:val="516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27165"/>
    <w:multiLevelType w:val="hybridMultilevel"/>
    <w:tmpl w:val="1226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8"/>
  </w:num>
  <w:num w:numId="5">
    <w:abstractNumId w:val="1"/>
  </w:num>
  <w:num w:numId="6">
    <w:abstractNumId w:val="6"/>
  </w:num>
  <w:num w:numId="7">
    <w:abstractNumId w:val="11"/>
  </w:num>
  <w:num w:numId="8">
    <w:abstractNumId w:val="7"/>
  </w:num>
  <w:num w:numId="9">
    <w:abstractNumId w:val="9"/>
  </w:num>
  <w:num w:numId="10">
    <w:abstractNumId w:val="4"/>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32"/>
    <w:rsid w:val="00000755"/>
    <w:rsid w:val="00032F78"/>
    <w:rsid w:val="00095432"/>
    <w:rsid w:val="000E6641"/>
    <w:rsid w:val="0010695C"/>
    <w:rsid w:val="001071BB"/>
    <w:rsid w:val="0019108B"/>
    <w:rsid w:val="00214DC3"/>
    <w:rsid w:val="00223EFF"/>
    <w:rsid w:val="00226831"/>
    <w:rsid w:val="00255C79"/>
    <w:rsid w:val="00266086"/>
    <w:rsid w:val="00282C7C"/>
    <w:rsid w:val="00295288"/>
    <w:rsid w:val="002A6AA7"/>
    <w:rsid w:val="003142A9"/>
    <w:rsid w:val="003773D4"/>
    <w:rsid w:val="0042282C"/>
    <w:rsid w:val="00435838"/>
    <w:rsid w:val="00494222"/>
    <w:rsid w:val="004B3FB2"/>
    <w:rsid w:val="00502CB0"/>
    <w:rsid w:val="005A527E"/>
    <w:rsid w:val="00636094"/>
    <w:rsid w:val="00672174"/>
    <w:rsid w:val="00674B95"/>
    <w:rsid w:val="006858F7"/>
    <w:rsid w:val="006E3380"/>
    <w:rsid w:val="00735431"/>
    <w:rsid w:val="0075576C"/>
    <w:rsid w:val="008F205D"/>
    <w:rsid w:val="00936DFB"/>
    <w:rsid w:val="009E2BB9"/>
    <w:rsid w:val="009E6578"/>
    <w:rsid w:val="00A86477"/>
    <w:rsid w:val="00B93BCB"/>
    <w:rsid w:val="00BA160A"/>
    <w:rsid w:val="00BD2DDC"/>
    <w:rsid w:val="00C04DA4"/>
    <w:rsid w:val="00CC580B"/>
    <w:rsid w:val="00D77590"/>
    <w:rsid w:val="00DA0B2E"/>
    <w:rsid w:val="00DA1AA1"/>
    <w:rsid w:val="00DA1FE1"/>
    <w:rsid w:val="00DB49C7"/>
    <w:rsid w:val="00DE4928"/>
    <w:rsid w:val="00E058BC"/>
    <w:rsid w:val="00E105DB"/>
    <w:rsid w:val="00E32FE3"/>
    <w:rsid w:val="00E42A52"/>
    <w:rsid w:val="00E86856"/>
    <w:rsid w:val="00EA00D5"/>
    <w:rsid w:val="00EA3C20"/>
    <w:rsid w:val="00EC16C8"/>
    <w:rsid w:val="00F4747D"/>
    <w:rsid w:val="00F65BF5"/>
    <w:rsid w:val="00F94B61"/>
    <w:rsid w:val="00FB4E79"/>
    <w:rsid w:val="00FD31A7"/>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C154"/>
  <w15:docId w15:val="{940BCB49-9B9C-4019-B036-0F427AF1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928"/>
    <w:pPr>
      <w:spacing w:after="0" w:line="240" w:lineRule="auto"/>
    </w:pPr>
    <w:rPr>
      <w:rFonts w:ascii="Arial" w:hAnsi="Arial" w:cs="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F7"/>
    <w:pPr>
      <w:ind w:left="720"/>
      <w:contextualSpacing/>
    </w:pPr>
  </w:style>
  <w:style w:type="table" w:styleId="TableGrid">
    <w:name w:val="Table Grid"/>
    <w:basedOn w:val="TableNormal"/>
    <w:uiPriority w:val="1"/>
    <w:rsid w:val="006858F7"/>
    <w:pPr>
      <w:spacing w:after="0" w:line="240" w:lineRule="auto"/>
    </w:pPr>
    <w:rPr>
      <w:rFonts w:ascii="Arial" w:hAnsi="Arial" w:cs="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C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f194bd72-660a-4658-a388-84546d924352">Notify</RetentionType>
    <TaxKeywordTaxHTField xmlns="e14115de-03ae-49b5-af01-31035404c456">
      <Terms xmlns="http://schemas.microsoft.com/office/infopath/2007/PartnerControls"/>
    </TaxKeywordTaxHTField>
    <RetentionDate xmlns="f194bd72-660a-4658-a388-84546d924352" xsi:nil="true"/>
    <EDRMSOwner xmlns="f194bd72-660a-4658-a388-84546d924352" xsi:nil="true"/>
    <Retention xmlns="f194bd72-660a-4658-a388-84546d924352">0</Retention>
    <_dlc_DocId xmlns="5e720a56-db37-49b6-b44d-66851626526a">4Y5DU54DDN75-1873148226-820</_dlc_DocId>
    <_dlc_DocIdUrl xmlns="5e720a56-db37-49b6-b44d-66851626526a">
      <Url>https://share.sp.ons.statistics.gov.uk/sites/DataArchitecture/CDA/_layouts/15/DocIdRedir.aspx?ID=4Y5DU54DDN75-1873148226-820</Url>
      <Description>4Y5DU54DDN75-1873148226-820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5CAD0028F9C06946B0BDCD78E83A9476" ma:contentTypeVersion="64" ma:contentTypeDescription="Create a new document." ma:contentTypeScope="" ma:versionID="c7f378139a2b2b6bf2a53beabf8a04d1">
  <xsd:schema xmlns:xsd="http://www.w3.org/2001/XMLSchema" xmlns:xs="http://www.w3.org/2001/XMLSchema" xmlns:p="http://schemas.microsoft.com/office/2006/metadata/properties" xmlns:ns1="http://schemas.microsoft.com/sharepoint/v3" xmlns:ns3="e14115de-03ae-49b5-af01-31035404c456" xmlns:ns4="f194bd72-660a-4658-a388-84546d924352" xmlns:ns6="5e720a56-db37-49b6-b44d-66851626526a" targetNamespace="http://schemas.microsoft.com/office/2006/metadata/properties" ma:root="true" ma:fieldsID="761d83f1fdf95a8a974f72bae93667d1" ns1:_="" ns3:_="" ns4:_="" ns6:_="">
    <xsd:import namespace="http://schemas.microsoft.com/sharepoint/v3"/>
    <xsd:import namespace="e14115de-03ae-49b5-af01-31035404c456"/>
    <xsd:import namespace="f194bd72-660a-4658-a388-84546d924352"/>
    <xsd:import namespace="5e720a56-db37-49b6-b44d-66851626526a"/>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4bd72-660a-4658-a388-84546d9243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5e720a56-db37-49b6-b44d-66851626526a"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926D60-D452-4848-B47E-54ABD7E1AD2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e14115de-03ae-49b5-af01-31035404c456"/>
    <ds:schemaRef ds:uri="5e720a56-db37-49b6-b44d-66851626526a"/>
    <ds:schemaRef ds:uri="f194bd72-660a-4658-a388-84546d92435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DB8AA98-96C7-40CD-8FB2-14C235A1095A}">
  <ds:schemaRefs>
    <ds:schemaRef ds:uri="http://schemas.microsoft.com/sharepoint/v3/contenttype/forms"/>
  </ds:schemaRefs>
</ds:datastoreItem>
</file>

<file path=customXml/itemProps3.xml><?xml version="1.0" encoding="utf-8"?>
<ds:datastoreItem xmlns:ds="http://schemas.openxmlformats.org/officeDocument/2006/customXml" ds:itemID="{0A03D70E-5016-4E6E-B314-ACFE2C0E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194bd72-660a-4658-a388-84546d924352"/>
    <ds:schemaRef ds:uri="5e720a56-db37-49b6-b44d-668516265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D25FD-A48F-4253-9B39-A600551A7B39}">
  <ds:schemaRefs>
    <ds:schemaRef ds:uri="http://schemas.microsoft.com/office/2006/metadata/customXsn"/>
  </ds:schemaRefs>
</ds:datastoreItem>
</file>

<file path=customXml/itemProps5.xml><?xml version="1.0" encoding="utf-8"?>
<ds:datastoreItem xmlns:ds="http://schemas.openxmlformats.org/officeDocument/2006/customXml" ds:itemID="{EAA52A7E-E91B-46E4-8266-F0CA5B9BC757}">
  <ds:schemaRefs>
    <ds:schemaRef ds:uri="Microsoft.SharePoint.Taxonomy.ContentTypeSync"/>
  </ds:schemaRefs>
</ds:datastoreItem>
</file>

<file path=customXml/itemProps6.xml><?xml version="1.0" encoding="utf-8"?>
<ds:datastoreItem xmlns:ds="http://schemas.openxmlformats.org/officeDocument/2006/customXml" ds:itemID="{1198B25B-A6A8-4820-B216-9F4B409B82BE}">
  <ds:schemaRefs>
    <ds:schemaRef ds:uri="office.server.policy"/>
  </ds:schemaRefs>
</ds:datastoreItem>
</file>

<file path=customXml/itemProps7.xml><?xml version="1.0" encoding="utf-8"?>
<ds:datastoreItem xmlns:ds="http://schemas.openxmlformats.org/officeDocument/2006/customXml" ds:itemID="{E52A9496-92A2-45DB-9DEE-A0E4AE85B0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Dagens, Kerry</dc:creator>
  <cp:lastModifiedBy>Dagens, Kerry</cp:lastModifiedBy>
  <cp:revision>2</cp:revision>
  <cp:lastPrinted>2019-03-26T09:29:00Z</cp:lastPrinted>
  <dcterms:created xsi:type="dcterms:W3CDTF">2019-04-05T08:54:00Z</dcterms:created>
  <dcterms:modified xsi:type="dcterms:W3CDTF">2019-04-05T08:54:00Z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0x01010035E33599CC8D1E47A037F474646B1D58005CAD0028F9C06946B0BDCD78E83A9476</vt:lpwstr>
  </property>
  <property fmtid="{D5CDD505-2E9C-101B-9397-08002B2CF9AE}" pid="3" name="RecordType">
    <vt:lpwstr>5;#Programme and Project|96356c75-f26d-45f0-a4b1-e809250f704c</vt:lpwstr>
  </property>
  <property fmtid="{D5CDD505-2E9C-101B-9397-08002B2CF9AE}" pid="4" name="Record Type">
    <vt:lpwstr>5;#Programme and Project|96356c75-f26d-45f0-a4b1-e809250f704c</vt:lpwstr>
  </property>
  <property fmtid="{D5CDD505-2E9C-101B-9397-08002B2CF9AE}" pid="5" name="TaxKeyword">
    <vt:lpwstr/>
  </property>
  <property fmtid="{D5CDD505-2E9C-101B-9397-08002B2CF9AE}" pid="6" name="TaxCatchAll">
    <vt:lpwstr>5;#Programme and Project|96356c75-f26d-45f0-a4b1-e809250f704c</vt:lpwstr>
  </property>
  <property fmtid="{D5CDD505-2E9C-101B-9397-08002B2CF9AE}" pid="7" name="_dlc_policyId">
    <vt:lpwstr>0x01010035E33599CC8D1E47A037F474646B1D58|2057524105</vt:lpwstr>
  </property>
  <property fmtid="{D5CDD505-2E9C-101B-9397-08002B2CF9AE}" pid="8"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9" name="_dlc_DocIdItemGuid">
    <vt:lpwstr>70b8bfea-305c-46f3-a018-3f26c732f041</vt:lpwstr>
  </property>
</Properties>
</file>