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8334"/>
      </w:tblGrid>
      <w:tr w:rsidR="007F6DDA" w:rsidRPr="000602B1" w14:paraId="4A22DFCE" w14:textId="77777777" w:rsidTr="00531DCA">
        <w:tc>
          <w:tcPr>
            <w:tcW w:w="2014" w:type="dxa"/>
            <w:shd w:val="clear" w:color="auto" w:fill="B3FFFF"/>
          </w:tcPr>
          <w:p w14:paraId="73CF03B5" w14:textId="77777777" w:rsidR="007F6DDA" w:rsidRPr="00A15E89" w:rsidRDefault="007F6DD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Role Title</w:t>
            </w:r>
            <w:r w:rsidR="00417090" w:rsidRPr="00A15E89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67CE28A5" w14:textId="77777777" w:rsidR="007F6DDA" w:rsidRPr="00A15E89" w:rsidRDefault="007F6DD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334" w:type="dxa"/>
            <w:vAlign w:val="center"/>
          </w:tcPr>
          <w:p w14:paraId="6AFA1F60" w14:textId="5C06F9CC" w:rsidR="00021E43" w:rsidRPr="00662262" w:rsidRDefault="00606B99" w:rsidP="008B5E90">
            <w:pPr>
              <w:pStyle w:val="Heading1"/>
              <w:rPr>
                <w:color w:val="FF0000"/>
                <w:sz w:val="22"/>
              </w:rPr>
            </w:pPr>
            <w:r>
              <w:rPr>
                <w:sz w:val="22"/>
              </w:rPr>
              <w:t>Senior Statistician (Money and Pensions Service)</w:t>
            </w:r>
          </w:p>
          <w:p w14:paraId="18929320" w14:textId="77777777" w:rsidR="00D50617" w:rsidRPr="00D50617" w:rsidRDefault="00D50617" w:rsidP="00D50617"/>
        </w:tc>
      </w:tr>
      <w:tr w:rsidR="00823EDF" w:rsidRPr="000602B1" w14:paraId="5703B913" w14:textId="77777777" w:rsidTr="00531DCA">
        <w:tc>
          <w:tcPr>
            <w:tcW w:w="2014" w:type="dxa"/>
            <w:shd w:val="clear" w:color="auto" w:fill="B3FFFF"/>
          </w:tcPr>
          <w:p w14:paraId="36F0CFFB" w14:textId="77777777" w:rsidR="00823EDF" w:rsidRPr="00A15E89" w:rsidRDefault="00823ED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 xml:space="preserve">Grade </w:t>
            </w:r>
          </w:p>
        </w:tc>
        <w:tc>
          <w:tcPr>
            <w:tcW w:w="8334" w:type="dxa"/>
          </w:tcPr>
          <w:p w14:paraId="4F67AA79" w14:textId="5E4202B4" w:rsidR="006E0879" w:rsidRPr="000602B1" w:rsidDel="008E6921" w:rsidRDefault="00BA27F1">
            <w:pPr>
              <w:pStyle w:val="TabletextCharCharCharCharChar1CharChar"/>
              <w:rPr>
                <w:rFonts w:ascii="Arial" w:hAnsi="Arial" w:cs="Arial"/>
                <w:bCs/>
                <w:sz w:val="22"/>
                <w:szCs w:val="22"/>
              </w:rPr>
            </w:pPr>
            <w:r w:rsidRPr="000602B1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641C9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606B99">
              <w:rPr>
                <w:rFonts w:ascii="Arial" w:hAnsi="Arial" w:cs="Arial"/>
                <w:bCs/>
                <w:sz w:val="22"/>
                <w:szCs w:val="22"/>
              </w:rPr>
              <w:t xml:space="preserve"> or G7</w:t>
            </w:r>
          </w:p>
        </w:tc>
      </w:tr>
      <w:tr w:rsidR="007F6DDA" w:rsidRPr="000602B1" w14:paraId="26B203C3" w14:textId="77777777" w:rsidTr="00531DCA">
        <w:tc>
          <w:tcPr>
            <w:tcW w:w="2014" w:type="dxa"/>
            <w:shd w:val="clear" w:color="auto" w:fill="B3FFFF"/>
          </w:tcPr>
          <w:p w14:paraId="44DFF4EE" w14:textId="77777777" w:rsidR="007F6DDA" w:rsidRPr="00A15E89" w:rsidRDefault="007F6DD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Function</w:t>
            </w:r>
            <w:r w:rsidR="0097027A" w:rsidRPr="00A15E89">
              <w:rPr>
                <w:rFonts w:ascii="Arial" w:hAnsi="Arial"/>
                <w:b/>
                <w:bCs/>
                <w:sz w:val="22"/>
                <w:szCs w:val="22"/>
              </w:rPr>
              <w:t>/Team</w:t>
            </w:r>
          </w:p>
          <w:p w14:paraId="5EC41EEF" w14:textId="77777777" w:rsidR="007F6DDA" w:rsidRPr="000602B1" w:rsidRDefault="007F6DD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334" w:type="dxa"/>
          </w:tcPr>
          <w:p w14:paraId="24E393D0" w14:textId="52CBDE0A" w:rsidR="00BF76AB" w:rsidRDefault="00BF76AB" w:rsidP="000D0D70">
            <w:pPr>
              <w:pStyle w:val="TabletextCharCharCharCharChar1CharCha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Cs/>
                <w:sz w:val="22"/>
                <w:szCs w:val="22"/>
              </w:rPr>
              <w:t xml:space="preserve">Role is located within the </w:t>
            </w:r>
            <w:r w:rsidR="00606B99">
              <w:rPr>
                <w:rFonts w:ascii="Arial" w:hAnsi="Arial" w:cs="Arial"/>
                <w:bCs/>
                <w:sz w:val="22"/>
                <w:szCs w:val="22"/>
              </w:rPr>
              <w:t xml:space="preserve">Insight &amp; Evaluation team at </w:t>
            </w:r>
            <w:proofErr w:type="spellStart"/>
            <w:r w:rsidR="00606B99">
              <w:rPr>
                <w:rFonts w:ascii="Arial" w:hAnsi="Arial" w:cs="Arial"/>
                <w:bCs/>
                <w:sz w:val="22"/>
                <w:szCs w:val="22"/>
              </w:rPr>
              <w:t>MaPS</w:t>
            </w:r>
            <w:proofErr w:type="spellEnd"/>
            <w:r w:rsidR="001B2E4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bookmarkEnd w:id="0"/>
          <w:p w14:paraId="49AA55FF" w14:textId="048D4E28" w:rsidR="007F6DDA" w:rsidRPr="000602B1" w:rsidRDefault="00BC5F53" w:rsidP="00D24B24">
            <w:pPr>
              <w:pStyle w:val="TabletextCharCharCharCharChar1CharCha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Responsible</w:t>
            </w:r>
            <w:r w:rsidR="000D0D70" w:rsidRPr="000D0D70"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 w:rsidR="00F90B6C">
              <w:rPr>
                <w:rFonts w:ascii="Arial" w:hAnsi="Arial" w:cs="Arial"/>
                <w:bCs/>
                <w:sz w:val="22"/>
                <w:szCs w:val="22"/>
              </w:rPr>
              <w:t xml:space="preserve">advising on </w:t>
            </w:r>
            <w:r w:rsidR="005B1811">
              <w:rPr>
                <w:rFonts w:ascii="Arial" w:hAnsi="Arial" w:cs="Arial"/>
                <w:bCs/>
                <w:sz w:val="22"/>
                <w:szCs w:val="22"/>
              </w:rPr>
              <w:t xml:space="preserve">quantitative </w:t>
            </w:r>
            <w:r w:rsidR="00F90B6C">
              <w:rPr>
                <w:rFonts w:ascii="Arial" w:hAnsi="Arial" w:cs="Arial"/>
                <w:bCs/>
                <w:sz w:val="22"/>
                <w:szCs w:val="22"/>
              </w:rPr>
              <w:t xml:space="preserve">survey </w:t>
            </w:r>
            <w:r w:rsidR="005B1811">
              <w:rPr>
                <w:rFonts w:ascii="Arial" w:hAnsi="Arial" w:cs="Arial"/>
                <w:bCs/>
                <w:sz w:val="22"/>
                <w:szCs w:val="22"/>
              </w:rPr>
              <w:t xml:space="preserve">and evaluation </w:t>
            </w:r>
            <w:r w:rsidR="00F90B6C">
              <w:rPr>
                <w:rFonts w:ascii="Arial" w:hAnsi="Arial" w:cs="Arial"/>
                <w:bCs/>
                <w:sz w:val="22"/>
                <w:szCs w:val="22"/>
              </w:rPr>
              <w:t>design and analysis</w:t>
            </w:r>
            <w:r w:rsidR="00DB3524">
              <w:rPr>
                <w:rFonts w:ascii="Arial" w:hAnsi="Arial" w:cs="Arial"/>
                <w:bCs/>
                <w:sz w:val="22"/>
                <w:szCs w:val="22"/>
              </w:rPr>
              <w:t>, conducting</w:t>
            </w:r>
            <w:r w:rsidR="00B7238D">
              <w:rPr>
                <w:rFonts w:ascii="Arial" w:hAnsi="Arial" w:cs="Arial"/>
                <w:bCs/>
                <w:sz w:val="22"/>
                <w:szCs w:val="22"/>
              </w:rPr>
              <w:t xml:space="preserve"> advanced </w:t>
            </w:r>
            <w:r w:rsidR="00A8158E">
              <w:rPr>
                <w:rFonts w:ascii="Arial" w:hAnsi="Arial" w:cs="Arial"/>
                <w:bCs/>
                <w:sz w:val="22"/>
                <w:szCs w:val="22"/>
              </w:rPr>
              <w:t xml:space="preserve">statistical </w:t>
            </w:r>
            <w:r w:rsidR="00B7238D">
              <w:rPr>
                <w:rFonts w:ascii="Arial" w:hAnsi="Arial" w:cs="Arial"/>
                <w:bCs/>
                <w:sz w:val="22"/>
                <w:szCs w:val="22"/>
              </w:rPr>
              <w:t>analysis</w:t>
            </w:r>
            <w:r w:rsidR="00A8158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90B6C">
              <w:rPr>
                <w:rFonts w:ascii="Arial" w:hAnsi="Arial" w:cs="Arial"/>
                <w:bCs/>
                <w:sz w:val="22"/>
                <w:szCs w:val="22"/>
              </w:rPr>
              <w:t xml:space="preserve">managing </w:t>
            </w:r>
            <w:r w:rsidR="00A8158E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F90B6C">
              <w:rPr>
                <w:rFonts w:ascii="Arial" w:hAnsi="Arial" w:cs="Arial"/>
                <w:bCs/>
                <w:sz w:val="22"/>
                <w:szCs w:val="22"/>
              </w:rPr>
              <w:t>small team of research data analy</w:t>
            </w:r>
            <w:r w:rsidR="001217C8">
              <w:rPr>
                <w:rFonts w:ascii="Arial" w:hAnsi="Arial" w:cs="Arial"/>
                <w:bCs/>
                <w:sz w:val="22"/>
                <w:szCs w:val="22"/>
              </w:rPr>
              <w:t>sts</w:t>
            </w:r>
            <w:r w:rsidR="00A8158E"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="00F52D6E">
              <w:rPr>
                <w:rFonts w:ascii="Arial" w:hAnsi="Arial" w:cs="Arial"/>
                <w:bCs/>
                <w:sz w:val="22"/>
                <w:szCs w:val="22"/>
              </w:rPr>
              <w:t xml:space="preserve"> managing internal and external stakeholders</w:t>
            </w:r>
            <w:r w:rsidR="001217C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DC0E14">
              <w:rPr>
                <w:rFonts w:ascii="Arial" w:hAnsi="Arial" w:cs="Arial"/>
                <w:bCs/>
                <w:sz w:val="22"/>
                <w:szCs w:val="22"/>
              </w:rPr>
              <w:t>The role will work across debt advice, money guidance, pensions freedoms and guidance and financial education for children and young people. There is an i</w:t>
            </w:r>
            <w:r w:rsidR="001217C8">
              <w:rPr>
                <w:rFonts w:ascii="Arial" w:hAnsi="Arial" w:cs="Arial"/>
                <w:bCs/>
                <w:sz w:val="22"/>
                <w:szCs w:val="22"/>
              </w:rPr>
              <w:t>mmediate priority is to review the methodology for estimating over-indebtedness and the need for debt advice at a UK,</w:t>
            </w:r>
            <w:r w:rsidR="00195D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B2E4D">
              <w:rPr>
                <w:rFonts w:ascii="Arial" w:hAnsi="Arial" w:cs="Arial"/>
                <w:bCs/>
                <w:sz w:val="22"/>
                <w:szCs w:val="22"/>
              </w:rPr>
              <w:t xml:space="preserve">national and regional level. </w:t>
            </w:r>
            <w:r w:rsidR="00D24B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F6DDA" w:rsidRPr="000602B1" w14:paraId="0098B476" w14:textId="77777777" w:rsidTr="00531DCA">
        <w:tc>
          <w:tcPr>
            <w:tcW w:w="2014" w:type="dxa"/>
            <w:shd w:val="clear" w:color="auto" w:fill="B3FFFF"/>
          </w:tcPr>
          <w:p w14:paraId="16470771" w14:textId="77777777" w:rsidR="007F6DDA" w:rsidRPr="000602B1" w:rsidRDefault="008E1487" w:rsidP="008E148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Career Pathway Toolkit Role</w:t>
            </w:r>
          </w:p>
        </w:tc>
        <w:tc>
          <w:tcPr>
            <w:tcW w:w="8334" w:type="dxa"/>
          </w:tcPr>
          <w:p w14:paraId="3DF524FC" w14:textId="1F3753A9" w:rsidR="007F6DDA" w:rsidRPr="001B2E4D" w:rsidRDefault="001B2E4D" w:rsidP="00BB4F3F">
            <w:pPr>
              <w:pStyle w:val="Defau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 advised by DWP</w:t>
            </w:r>
          </w:p>
        </w:tc>
      </w:tr>
      <w:tr w:rsidR="008E1487" w:rsidRPr="000602B1" w14:paraId="1744D868" w14:textId="77777777" w:rsidTr="00531DCA">
        <w:tc>
          <w:tcPr>
            <w:tcW w:w="2014" w:type="dxa"/>
            <w:shd w:val="clear" w:color="auto" w:fill="B3FFFF"/>
          </w:tcPr>
          <w:p w14:paraId="7D4FCF55" w14:textId="77777777" w:rsidR="008E1487" w:rsidRPr="00A15E89" w:rsidRDefault="008E1487" w:rsidP="00D14EC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Reports to</w:t>
            </w:r>
          </w:p>
          <w:p w14:paraId="79D1E01F" w14:textId="77777777" w:rsidR="008E1487" w:rsidRPr="000602B1" w:rsidRDefault="008E1487" w:rsidP="00D14EC7">
            <w:pPr>
              <w:rPr>
                <w:rFonts w:ascii="Arial" w:hAnsi="Arial"/>
                <w:sz w:val="22"/>
                <w:szCs w:val="22"/>
              </w:rPr>
            </w:pPr>
            <w:r w:rsidRPr="000602B1">
              <w:rPr>
                <w:rFonts w:ascii="Arial" w:hAnsi="Arial"/>
                <w:sz w:val="22"/>
                <w:szCs w:val="22"/>
              </w:rPr>
              <w:t>(Name and Grade)</w:t>
            </w:r>
          </w:p>
          <w:p w14:paraId="038FEE64" w14:textId="77777777" w:rsidR="008E1487" w:rsidRPr="000602B1" w:rsidRDefault="008E1487" w:rsidP="00D14EC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334" w:type="dxa"/>
          </w:tcPr>
          <w:p w14:paraId="43B91FCF" w14:textId="6E833073" w:rsidR="00531DCA" w:rsidRPr="001B2E4D" w:rsidRDefault="001B2E4D" w:rsidP="005F75C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B2E4D">
              <w:rPr>
                <w:rFonts w:ascii="Arial" w:hAnsi="Arial" w:cs="Arial"/>
                <w:sz w:val="22"/>
                <w:szCs w:val="22"/>
              </w:rPr>
              <w:t xml:space="preserve">Nick Watkins, Head of Insight &amp; Evaluation at </w:t>
            </w:r>
            <w:proofErr w:type="spellStart"/>
            <w:r w:rsidRPr="001B2E4D">
              <w:rPr>
                <w:rFonts w:ascii="Arial" w:hAnsi="Arial" w:cs="Arial"/>
                <w:sz w:val="22"/>
                <w:szCs w:val="22"/>
              </w:rPr>
              <w:t>MaPS</w:t>
            </w:r>
            <w:proofErr w:type="spellEnd"/>
            <w:r w:rsidR="00531DCA" w:rsidRPr="001B2E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062BDB" w14:textId="77777777" w:rsidR="00531DCA" w:rsidRPr="001B2E4D" w:rsidRDefault="00531DCA" w:rsidP="005F75C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7CD3A5C" w14:textId="3F884DBE" w:rsidR="008E1487" w:rsidRPr="001B2E4D" w:rsidRDefault="00DA3B77" w:rsidP="005F75C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1B2E4D" w:rsidRPr="001B2E4D">
                <w:rPr>
                  <w:rStyle w:val="Hyperlink"/>
                  <w:rFonts w:ascii="Arial" w:hAnsi="Arial" w:cs="Arial"/>
                  <w:sz w:val="22"/>
                  <w:szCs w:val="22"/>
                </w:rPr>
                <w:t>Nick.Watkins@maps.org.uk</w:t>
              </w:r>
            </w:hyperlink>
            <w:r w:rsidR="001B2E4D" w:rsidRPr="001B2E4D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5F75C8" w:rsidRPr="001B2E4D">
              <w:rPr>
                <w:rFonts w:ascii="Arial" w:hAnsi="Arial" w:cs="Arial"/>
                <w:sz w:val="22"/>
                <w:szCs w:val="22"/>
              </w:rPr>
              <w:t>07</w:t>
            </w:r>
            <w:r w:rsidR="001B2E4D" w:rsidRPr="001B2E4D">
              <w:rPr>
                <w:rFonts w:ascii="Arial" w:hAnsi="Arial" w:cs="Arial"/>
                <w:sz w:val="22"/>
                <w:szCs w:val="22"/>
              </w:rPr>
              <w:t>827 979 206</w:t>
            </w:r>
          </w:p>
        </w:tc>
      </w:tr>
      <w:tr w:rsidR="00021E43" w:rsidRPr="000602B1" w14:paraId="0D290D02" w14:textId="77777777" w:rsidTr="00531DCA">
        <w:tc>
          <w:tcPr>
            <w:tcW w:w="2014" w:type="dxa"/>
            <w:shd w:val="clear" w:color="auto" w:fill="B3FFFF"/>
          </w:tcPr>
          <w:p w14:paraId="472EC05C" w14:textId="77777777" w:rsidR="00021E43" w:rsidRPr="000602B1" w:rsidRDefault="00021E43" w:rsidP="00021E4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 xml:space="preserve">Details of current post-holder </w:t>
            </w:r>
          </w:p>
        </w:tc>
        <w:tc>
          <w:tcPr>
            <w:tcW w:w="8334" w:type="dxa"/>
          </w:tcPr>
          <w:p w14:paraId="67965433" w14:textId="69D646AC" w:rsidR="00021E43" w:rsidRPr="001B2E4D" w:rsidDel="008E6921" w:rsidRDefault="001B2E4D" w:rsidP="00BD0B4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2E4D">
              <w:rPr>
                <w:rFonts w:ascii="Arial" w:hAnsi="Arial" w:cs="Arial"/>
                <w:sz w:val="22"/>
                <w:szCs w:val="22"/>
              </w:rPr>
              <w:t>This is a new position</w:t>
            </w:r>
          </w:p>
        </w:tc>
      </w:tr>
      <w:tr w:rsidR="00DD3A3B" w:rsidRPr="000602B1" w14:paraId="7C5B2390" w14:textId="77777777" w:rsidTr="00531DCA">
        <w:tc>
          <w:tcPr>
            <w:tcW w:w="2014" w:type="dxa"/>
            <w:shd w:val="clear" w:color="auto" w:fill="B3FFFF"/>
          </w:tcPr>
          <w:p w14:paraId="7AE4CF74" w14:textId="77777777" w:rsidR="00DD3A3B" w:rsidRPr="000602B1" w:rsidRDefault="00DD3A3B" w:rsidP="000876D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Structure of area/teams and current location mix</w:t>
            </w:r>
          </w:p>
        </w:tc>
        <w:tc>
          <w:tcPr>
            <w:tcW w:w="8334" w:type="dxa"/>
          </w:tcPr>
          <w:p w14:paraId="32658990" w14:textId="5F4BFFAB" w:rsidR="00132D4B" w:rsidRPr="00132D4B" w:rsidRDefault="00C65568" w:rsidP="0047239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will be a team of three research data analysts </w:t>
            </w:r>
            <w:r w:rsidR="003A02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3A0274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="003A0274">
              <w:rPr>
                <w:rFonts w:ascii="Arial" w:hAnsi="Arial" w:cs="Arial"/>
                <w:sz w:val="22"/>
                <w:szCs w:val="22"/>
              </w:rPr>
              <w:t xml:space="preserve"> two reporting to this role) </w:t>
            </w:r>
            <w:r>
              <w:rPr>
                <w:rFonts w:ascii="Arial" w:hAnsi="Arial" w:cs="Arial"/>
                <w:sz w:val="22"/>
                <w:szCs w:val="22"/>
              </w:rPr>
              <w:t xml:space="preserve">sitting within a broader team of </w:t>
            </w:r>
            <w:r w:rsidR="0087335B">
              <w:rPr>
                <w:rFonts w:ascii="Arial" w:hAnsi="Arial" w:cs="Arial"/>
                <w:sz w:val="22"/>
                <w:szCs w:val="22"/>
              </w:rPr>
              <w:t>1</w:t>
            </w:r>
            <w:r w:rsidR="004F7B24">
              <w:rPr>
                <w:rFonts w:ascii="Arial" w:hAnsi="Arial" w:cs="Arial"/>
                <w:sz w:val="22"/>
                <w:szCs w:val="22"/>
              </w:rPr>
              <w:t>7</w:t>
            </w:r>
            <w:r w:rsidR="008733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7B24">
              <w:rPr>
                <w:rFonts w:ascii="Arial" w:hAnsi="Arial" w:cs="Arial"/>
                <w:sz w:val="22"/>
                <w:szCs w:val="22"/>
              </w:rPr>
              <w:t xml:space="preserve">staff (including </w:t>
            </w:r>
            <w:r w:rsidR="00132D4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F7B24">
              <w:rPr>
                <w:rFonts w:ascii="Arial" w:hAnsi="Arial" w:cs="Arial"/>
                <w:sz w:val="22"/>
                <w:szCs w:val="22"/>
              </w:rPr>
              <w:t>research data analys</w:t>
            </w:r>
            <w:r w:rsidR="00132D4B">
              <w:rPr>
                <w:rFonts w:ascii="Arial" w:hAnsi="Arial" w:cs="Arial"/>
                <w:sz w:val="22"/>
                <w:szCs w:val="22"/>
              </w:rPr>
              <w:t>i</w:t>
            </w:r>
            <w:r w:rsidR="004F7B24">
              <w:rPr>
                <w:rFonts w:ascii="Arial" w:hAnsi="Arial" w:cs="Arial"/>
                <w:sz w:val="22"/>
                <w:szCs w:val="22"/>
              </w:rPr>
              <w:t>s</w:t>
            </w:r>
            <w:r w:rsidR="00132D4B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4F7B24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47239B">
              <w:rPr>
                <w:rFonts w:ascii="Arial" w:hAnsi="Arial" w:cs="Arial"/>
                <w:sz w:val="22"/>
                <w:szCs w:val="22"/>
              </w:rPr>
              <w:t xml:space="preserve">Other team members work in </w:t>
            </w:r>
            <w:r w:rsidR="00F52D6E">
              <w:rPr>
                <w:rFonts w:ascii="Arial" w:hAnsi="Arial" w:cs="Arial"/>
                <w:sz w:val="22"/>
                <w:szCs w:val="22"/>
              </w:rPr>
              <w:t>i</w:t>
            </w:r>
            <w:r w:rsidR="0047239B">
              <w:rPr>
                <w:rFonts w:ascii="Arial" w:hAnsi="Arial" w:cs="Arial"/>
                <w:sz w:val="22"/>
                <w:szCs w:val="22"/>
              </w:rPr>
              <w:t xml:space="preserve">nsights or </w:t>
            </w:r>
            <w:r w:rsidR="00843041">
              <w:rPr>
                <w:rFonts w:ascii="Arial" w:hAnsi="Arial" w:cs="Arial"/>
                <w:sz w:val="22"/>
                <w:szCs w:val="22"/>
              </w:rPr>
              <w:t>e</w:t>
            </w:r>
            <w:r w:rsidR="0047239B">
              <w:rPr>
                <w:rFonts w:ascii="Arial" w:hAnsi="Arial" w:cs="Arial"/>
                <w:sz w:val="22"/>
                <w:szCs w:val="22"/>
              </w:rPr>
              <w:t xml:space="preserve">valuation. </w:t>
            </w:r>
            <w:r w:rsidR="004F7B24">
              <w:rPr>
                <w:rFonts w:ascii="Arial" w:hAnsi="Arial" w:cs="Arial"/>
                <w:sz w:val="22"/>
                <w:szCs w:val="22"/>
              </w:rPr>
              <w:t xml:space="preserve">The team are based in the </w:t>
            </w:r>
            <w:proofErr w:type="spellStart"/>
            <w:r w:rsidR="004F7B24">
              <w:rPr>
                <w:rFonts w:ascii="Arial" w:hAnsi="Arial" w:cs="Arial"/>
                <w:sz w:val="22"/>
                <w:szCs w:val="22"/>
              </w:rPr>
              <w:t>MaPS</w:t>
            </w:r>
            <w:proofErr w:type="spellEnd"/>
            <w:r w:rsidR="004F7B24">
              <w:rPr>
                <w:rFonts w:ascii="Arial" w:hAnsi="Arial" w:cs="Arial"/>
                <w:sz w:val="22"/>
                <w:szCs w:val="22"/>
              </w:rPr>
              <w:t xml:space="preserve"> Head Office in Holborn Circ</w:t>
            </w:r>
            <w:r w:rsidR="0047239B">
              <w:rPr>
                <w:rFonts w:ascii="Arial" w:hAnsi="Arial" w:cs="Arial"/>
                <w:sz w:val="22"/>
                <w:szCs w:val="22"/>
              </w:rPr>
              <w:t xml:space="preserve">us, London. </w:t>
            </w:r>
          </w:p>
        </w:tc>
      </w:tr>
      <w:tr w:rsidR="00221F03" w:rsidRPr="000602B1" w14:paraId="565F37FA" w14:textId="77777777" w:rsidTr="00531DCA">
        <w:tc>
          <w:tcPr>
            <w:tcW w:w="2014" w:type="dxa"/>
            <w:shd w:val="clear" w:color="auto" w:fill="B3FFFF"/>
          </w:tcPr>
          <w:p w14:paraId="4F704BBD" w14:textId="77777777" w:rsidR="008801B4" w:rsidRPr="000602B1" w:rsidRDefault="000876D3" w:rsidP="000876D3">
            <w:pPr>
              <w:rPr>
                <w:rFonts w:ascii="Arial" w:hAnsi="Arial"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Any relevant location</w:t>
            </w:r>
            <w:r w:rsidR="00DD3A3B" w:rsidRPr="000602B1">
              <w:rPr>
                <w:rFonts w:ascii="Arial" w:hAnsi="Arial"/>
                <w:b/>
                <w:bCs/>
                <w:sz w:val="22"/>
                <w:szCs w:val="22"/>
              </w:rPr>
              <w:t>/travel</w:t>
            </w:r>
            <w:r w:rsidRPr="000602B1">
              <w:rPr>
                <w:rFonts w:ascii="Arial" w:hAnsi="Arial"/>
                <w:b/>
                <w:bCs/>
                <w:sz w:val="22"/>
                <w:szCs w:val="22"/>
              </w:rPr>
              <w:t xml:space="preserve"> information</w:t>
            </w:r>
            <w:r w:rsidR="00DD3A3B" w:rsidRPr="000602B1">
              <w:rPr>
                <w:rFonts w:ascii="Arial" w:hAnsi="Arial"/>
                <w:sz w:val="22"/>
                <w:szCs w:val="22"/>
              </w:rPr>
              <w:t xml:space="preserve"> </w:t>
            </w:r>
            <w:r w:rsidR="008801B4" w:rsidRPr="000602B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2167864" w14:textId="77777777" w:rsidR="000876D3" w:rsidRPr="000602B1" w:rsidRDefault="000876D3" w:rsidP="008F442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334" w:type="dxa"/>
          </w:tcPr>
          <w:p w14:paraId="729B9991" w14:textId="26C4704F" w:rsidR="00221F03" w:rsidRPr="000602B1" w:rsidDel="008E6921" w:rsidRDefault="004A2129" w:rsidP="00532D2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4A2129">
              <w:rPr>
                <w:rFonts w:ascii="Arial" w:hAnsi="Arial" w:cs="Arial"/>
                <w:sz w:val="22"/>
                <w:szCs w:val="22"/>
              </w:rPr>
              <w:t xml:space="preserve">The post is </w:t>
            </w:r>
            <w:r w:rsidR="0047239B">
              <w:rPr>
                <w:rFonts w:ascii="Arial" w:hAnsi="Arial" w:cs="Arial"/>
                <w:sz w:val="22"/>
                <w:szCs w:val="22"/>
              </w:rPr>
              <w:t xml:space="preserve">based in the London </w:t>
            </w:r>
            <w:r w:rsidR="00E44E5A">
              <w:rPr>
                <w:rFonts w:ascii="Arial" w:hAnsi="Arial" w:cs="Arial"/>
                <w:sz w:val="22"/>
                <w:szCs w:val="22"/>
              </w:rPr>
              <w:t xml:space="preserve">Head Office. </w:t>
            </w:r>
          </w:p>
        </w:tc>
      </w:tr>
      <w:tr w:rsidR="00372CD3" w:rsidRPr="000602B1" w14:paraId="3F7BADAE" w14:textId="77777777" w:rsidTr="00531DCA">
        <w:tc>
          <w:tcPr>
            <w:tcW w:w="2014" w:type="dxa"/>
            <w:shd w:val="clear" w:color="auto" w:fill="B3FFFF"/>
          </w:tcPr>
          <w:p w14:paraId="1DF345AB" w14:textId="77777777" w:rsidR="00372CD3" w:rsidRPr="000602B1" w:rsidRDefault="00372CD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 xml:space="preserve">Flexible working availability </w:t>
            </w:r>
          </w:p>
        </w:tc>
        <w:tc>
          <w:tcPr>
            <w:tcW w:w="8334" w:type="dxa"/>
          </w:tcPr>
          <w:p w14:paraId="42CCA250" w14:textId="1C190AD3" w:rsidR="00BB4F3F" w:rsidRPr="00BB4F3F" w:rsidDel="008E6921" w:rsidRDefault="00843041" w:rsidP="00132D4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532D2B">
              <w:rPr>
                <w:rFonts w:ascii="Arial" w:hAnsi="Arial" w:cs="Arial"/>
                <w:sz w:val="22"/>
                <w:szCs w:val="22"/>
              </w:rPr>
              <w:t xml:space="preserve">lexible / home working may be available </w:t>
            </w:r>
            <w:r>
              <w:rPr>
                <w:rFonts w:ascii="Arial" w:hAnsi="Arial" w:cs="Arial"/>
                <w:sz w:val="22"/>
                <w:szCs w:val="22"/>
              </w:rPr>
              <w:t xml:space="preserve">on an ad hoc basis </w:t>
            </w:r>
            <w:r w:rsidR="00532D2B">
              <w:rPr>
                <w:rFonts w:ascii="Arial" w:hAnsi="Arial" w:cs="Arial"/>
                <w:sz w:val="22"/>
                <w:szCs w:val="22"/>
              </w:rPr>
              <w:t xml:space="preserve">subject to the permission of the Heads of </w:t>
            </w:r>
            <w:r w:rsidR="00532D2B" w:rsidRPr="001B2E4D">
              <w:rPr>
                <w:rFonts w:ascii="Arial" w:hAnsi="Arial" w:cs="Arial"/>
                <w:sz w:val="22"/>
                <w:szCs w:val="22"/>
              </w:rPr>
              <w:t xml:space="preserve">Insight &amp; Evaluation </w:t>
            </w:r>
            <w:r w:rsidR="00532D2B">
              <w:rPr>
                <w:rFonts w:ascii="Arial" w:hAnsi="Arial" w:cs="Arial"/>
                <w:sz w:val="22"/>
                <w:szCs w:val="22"/>
              </w:rPr>
              <w:t xml:space="preserve">and Culture, People &amp; Skills. Given the likely length of the secondment and the urgency of the appointment </w:t>
            </w:r>
            <w:r w:rsidR="00560849">
              <w:rPr>
                <w:rFonts w:ascii="Arial" w:hAnsi="Arial" w:cs="Arial"/>
                <w:sz w:val="22"/>
                <w:szCs w:val="22"/>
              </w:rPr>
              <w:t>job sharing might be challenging</w:t>
            </w:r>
          </w:p>
        </w:tc>
      </w:tr>
      <w:tr w:rsidR="007D460E" w:rsidRPr="000602B1" w14:paraId="237AF5E7" w14:textId="77777777" w:rsidTr="00531DCA">
        <w:tc>
          <w:tcPr>
            <w:tcW w:w="2014" w:type="dxa"/>
            <w:shd w:val="clear" w:color="auto" w:fill="B3FFFF"/>
          </w:tcPr>
          <w:p w14:paraId="06C2C528" w14:textId="77777777" w:rsidR="008801B4" w:rsidRPr="00A15E89" w:rsidRDefault="00221F0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Job description</w:t>
            </w:r>
            <w:r w:rsidR="008801B4" w:rsidRPr="00A15E89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791233F1" w14:textId="77777777" w:rsidR="00221F03" w:rsidRPr="000602B1" w:rsidRDefault="00221F03" w:rsidP="008F442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334" w:type="dxa"/>
          </w:tcPr>
          <w:p w14:paraId="47308EF9" w14:textId="7B06EBA0" w:rsidR="002470AE" w:rsidRDefault="00721BEC" w:rsidP="00DE184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C274A">
              <w:rPr>
                <w:rFonts w:ascii="Arial" w:hAnsi="Arial" w:cs="Arial"/>
                <w:sz w:val="22"/>
                <w:szCs w:val="22"/>
              </w:rPr>
              <w:t xml:space="preserve">This is an </w:t>
            </w:r>
            <w:r w:rsidR="00560849">
              <w:rPr>
                <w:rFonts w:ascii="Arial" w:hAnsi="Arial" w:cs="Arial"/>
                <w:sz w:val="22"/>
                <w:szCs w:val="22"/>
              </w:rPr>
              <w:t xml:space="preserve">important role for the new </w:t>
            </w:r>
            <w:proofErr w:type="spellStart"/>
            <w:r w:rsidR="00560849">
              <w:rPr>
                <w:rFonts w:ascii="Arial" w:hAnsi="Arial" w:cs="Arial"/>
                <w:sz w:val="22"/>
                <w:szCs w:val="22"/>
              </w:rPr>
              <w:t>MaPS</w:t>
            </w:r>
            <w:proofErr w:type="spellEnd"/>
            <w:r w:rsidR="00560849">
              <w:rPr>
                <w:rFonts w:ascii="Arial" w:hAnsi="Arial" w:cs="Arial"/>
                <w:sz w:val="22"/>
                <w:szCs w:val="22"/>
              </w:rPr>
              <w:t xml:space="preserve"> organisation. </w:t>
            </w:r>
            <w:r w:rsidR="00DE184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E184B" w:rsidRPr="001B2E4D">
              <w:rPr>
                <w:rFonts w:ascii="Arial" w:hAnsi="Arial" w:cs="Arial"/>
                <w:sz w:val="22"/>
                <w:szCs w:val="22"/>
              </w:rPr>
              <w:t xml:space="preserve">Insight &amp; Evaluation </w:t>
            </w:r>
            <w:r w:rsidR="00DE184B">
              <w:rPr>
                <w:rFonts w:ascii="Arial" w:hAnsi="Arial" w:cs="Arial"/>
                <w:sz w:val="22"/>
                <w:szCs w:val="22"/>
              </w:rPr>
              <w:t xml:space="preserve">team work across the organisation providing </w:t>
            </w:r>
            <w:r w:rsidR="002470AE">
              <w:rPr>
                <w:rFonts w:ascii="Arial" w:hAnsi="Arial" w:cs="Arial"/>
                <w:sz w:val="22"/>
                <w:szCs w:val="22"/>
              </w:rPr>
              <w:t xml:space="preserve">insights and evidence for both </w:t>
            </w:r>
            <w:proofErr w:type="spellStart"/>
            <w:r w:rsidR="002470AE">
              <w:rPr>
                <w:rFonts w:ascii="Arial" w:hAnsi="Arial" w:cs="Arial"/>
                <w:sz w:val="22"/>
                <w:szCs w:val="22"/>
              </w:rPr>
              <w:t>MaPS</w:t>
            </w:r>
            <w:proofErr w:type="spellEnd"/>
            <w:r w:rsidR="002470AE">
              <w:rPr>
                <w:rFonts w:ascii="Arial" w:hAnsi="Arial" w:cs="Arial"/>
                <w:sz w:val="22"/>
                <w:szCs w:val="22"/>
              </w:rPr>
              <w:t xml:space="preserve"> and the broader sector.</w:t>
            </w:r>
            <w:r w:rsidR="009609F2">
              <w:rPr>
                <w:rFonts w:ascii="Arial" w:hAnsi="Arial" w:cs="Arial"/>
                <w:sz w:val="22"/>
                <w:szCs w:val="22"/>
              </w:rPr>
              <w:t xml:space="preserve"> The outputs are used to guide strategy and </w:t>
            </w:r>
            <w:r w:rsidR="00D22CAD">
              <w:rPr>
                <w:rFonts w:ascii="Arial" w:hAnsi="Arial" w:cs="Arial"/>
                <w:sz w:val="22"/>
                <w:szCs w:val="22"/>
              </w:rPr>
              <w:t>fu</w:t>
            </w:r>
            <w:r w:rsidR="009609F2">
              <w:rPr>
                <w:rFonts w:ascii="Arial" w:hAnsi="Arial" w:cs="Arial"/>
                <w:sz w:val="22"/>
                <w:szCs w:val="22"/>
              </w:rPr>
              <w:t>nding</w:t>
            </w:r>
            <w:r w:rsidR="00D22CA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E4C05">
              <w:rPr>
                <w:rFonts w:ascii="Arial" w:hAnsi="Arial" w:cs="Arial"/>
                <w:sz w:val="22"/>
                <w:szCs w:val="22"/>
              </w:rPr>
              <w:t xml:space="preserve">and almost all our research is published, </w:t>
            </w:r>
            <w:r w:rsidR="00D22CAD">
              <w:rPr>
                <w:rFonts w:ascii="Arial" w:hAnsi="Arial" w:cs="Arial"/>
                <w:sz w:val="22"/>
                <w:szCs w:val="22"/>
              </w:rPr>
              <w:t xml:space="preserve">so statistical rigour and credibility is essential, </w:t>
            </w:r>
            <w:r w:rsidR="00DD67C2">
              <w:rPr>
                <w:rFonts w:ascii="Arial" w:hAnsi="Arial" w:cs="Arial"/>
                <w:sz w:val="22"/>
                <w:szCs w:val="22"/>
              </w:rPr>
              <w:t xml:space="preserve">as is an appreciation of </w:t>
            </w:r>
            <w:r w:rsidR="00D22CAD">
              <w:rPr>
                <w:rFonts w:ascii="Arial" w:hAnsi="Arial" w:cs="Arial"/>
                <w:sz w:val="22"/>
                <w:szCs w:val="22"/>
              </w:rPr>
              <w:t xml:space="preserve">the commercial demands </w:t>
            </w:r>
            <w:r w:rsidR="009F1644">
              <w:rPr>
                <w:rFonts w:ascii="Arial" w:hAnsi="Arial" w:cs="Arial"/>
                <w:sz w:val="22"/>
                <w:szCs w:val="22"/>
              </w:rPr>
              <w:t>of timing and cost</w:t>
            </w:r>
          </w:p>
          <w:p w14:paraId="706D03E0" w14:textId="4C82751A" w:rsidR="003050E5" w:rsidRDefault="00662262" w:rsidP="0087379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role will </w:t>
            </w:r>
            <w:r w:rsidR="003050E5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3050E5" w:rsidRPr="007919E2">
              <w:rPr>
                <w:rFonts w:ascii="Arial" w:hAnsi="Arial" w:cs="Arial"/>
                <w:sz w:val="22"/>
              </w:rPr>
              <w:t>the primary advisor on statistic</w:t>
            </w:r>
            <w:r w:rsidR="008948C4">
              <w:rPr>
                <w:rFonts w:ascii="Arial" w:hAnsi="Arial" w:cs="Arial"/>
                <w:sz w:val="22"/>
              </w:rPr>
              <w:t>s</w:t>
            </w:r>
            <w:r w:rsidR="003050E5" w:rsidRPr="007919E2">
              <w:rPr>
                <w:rFonts w:ascii="Arial" w:hAnsi="Arial" w:cs="Arial"/>
                <w:sz w:val="22"/>
              </w:rPr>
              <w:t xml:space="preserve"> and survey data analysis – both our own and others such as Wealth &amp; Assets, Family Resources Survey or Understanding Society. In terms of our own data, this includes the major Adult Financial Capability and Children &amp; Young People Financial Capability surveys which we run every three years, which are based on c.5,000 online and face-to-face interviews</w:t>
            </w:r>
            <w:r w:rsidR="00D02AC1">
              <w:rPr>
                <w:rFonts w:ascii="Arial" w:hAnsi="Arial" w:cs="Arial"/>
                <w:sz w:val="22"/>
              </w:rPr>
              <w:t>.</w:t>
            </w:r>
            <w:r w:rsidR="008948C4">
              <w:rPr>
                <w:rFonts w:ascii="Arial" w:hAnsi="Arial" w:cs="Arial"/>
                <w:sz w:val="22"/>
              </w:rPr>
              <w:t xml:space="preserve"> There may also be a need to design </w:t>
            </w:r>
            <w:r w:rsidR="00105AF8">
              <w:rPr>
                <w:rFonts w:ascii="Arial" w:hAnsi="Arial" w:cs="Arial"/>
                <w:sz w:val="22"/>
              </w:rPr>
              <w:t>and/or manage RCT’s as part of our evaluation work.</w:t>
            </w:r>
          </w:p>
          <w:p w14:paraId="17B822E0" w14:textId="04319288" w:rsidR="00D02AC1" w:rsidRDefault="00D02AC1" w:rsidP="0087379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2"/>
              </w:rPr>
            </w:pPr>
            <w:r w:rsidRPr="007919E2">
              <w:rPr>
                <w:rFonts w:ascii="Arial" w:hAnsi="Arial" w:cs="Arial"/>
                <w:sz w:val="22"/>
              </w:rPr>
              <w:t xml:space="preserve">The role would advise on sample design and weighting schema, but we have an established research / insight team who manage external suppliers </w:t>
            </w:r>
            <w:proofErr w:type="gramStart"/>
            <w:r w:rsidRPr="007919E2">
              <w:rPr>
                <w:rFonts w:ascii="Arial" w:hAnsi="Arial" w:cs="Arial"/>
                <w:sz w:val="22"/>
              </w:rPr>
              <w:t>and also</w:t>
            </w:r>
            <w:proofErr w:type="gramEnd"/>
            <w:r w:rsidRPr="007919E2">
              <w:rPr>
                <w:rFonts w:ascii="Arial" w:hAnsi="Arial" w:cs="Arial"/>
                <w:sz w:val="22"/>
              </w:rPr>
              <w:t xml:space="preserve"> have well-developed research analysis skills. In other words, others in the team can run research projects, work with suppliers and interpret the findings</w:t>
            </w:r>
            <w:r w:rsidR="00884EDA">
              <w:rPr>
                <w:rFonts w:ascii="Arial" w:hAnsi="Arial" w:cs="Arial"/>
                <w:sz w:val="22"/>
              </w:rPr>
              <w:t>.</w:t>
            </w:r>
          </w:p>
          <w:p w14:paraId="0B57160D" w14:textId="77777777" w:rsidR="007D460E" w:rsidRDefault="00884EDA" w:rsidP="00884ED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2"/>
              </w:rPr>
            </w:pPr>
            <w:r w:rsidRPr="00884EDA">
              <w:rPr>
                <w:rFonts w:ascii="Arial" w:hAnsi="Arial" w:cs="Arial"/>
                <w:sz w:val="22"/>
              </w:rPr>
              <w:t>Critically, this role needs to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84EDA">
              <w:rPr>
                <w:rFonts w:ascii="Arial" w:hAnsi="Arial" w:cs="Arial"/>
                <w:sz w:val="22"/>
              </w:rPr>
              <w:t xml:space="preserve">fulfil an urgent need </w:t>
            </w:r>
            <w:r>
              <w:rPr>
                <w:rFonts w:ascii="Arial" w:hAnsi="Arial" w:cs="Arial"/>
                <w:sz w:val="22"/>
              </w:rPr>
              <w:t xml:space="preserve">to review the methodology used by </w:t>
            </w:r>
            <w:proofErr w:type="spellStart"/>
            <w:r>
              <w:rPr>
                <w:rFonts w:ascii="Arial" w:hAnsi="Arial" w:cs="Arial"/>
                <w:sz w:val="22"/>
              </w:rPr>
              <w:t>MaPS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to estimate the level of over-indebtedness and the need for debt advice. </w:t>
            </w:r>
            <w:r w:rsidRPr="007919E2">
              <w:rPr>
                <w:rFonts w:ascii="Arial" w:hAnsi="Arial" w:cs="Arial"/>
                <w:sz w:val="22"/>
              </w:rPr>
              <w:t>The data for this is collected via a large online panel and then modelled by CACI to produce both national and local area estimates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  <w:p w14:paraId="0A7AC8EE" w14:textId="71623A43" w:rsidR="00377966" w:rsidRPr="004C274A" w:rsidDel="008E6921" w:rsidRDefault="00377966" w:rsidP="00884ED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role will also manage two research data analysts – one in place and one to be recruited (by this role)</w:t>
            </w:r>
          </w:p>
        </w:tc>
      </w:tr>
      <w:tr w:rsidR="007F6DDA" w:rsidRPr="000602B1" w14:paraId="42B3AED2" w14:textId="77777777" w:rsidTr="00531DCA">
        <w:tc>
          <w:tcPr>
            <w:tcW w:w="2014" w:type="dxa"/>
            <w:shd w:val="clear" w:color="auto" w:fill="B3FFFF"/>
          </w:tcPr>
          <w:p w14:paraId="3F387589" w14:textId="77777777" w:rsidR="00D04E3B" w:rsidRPr="000602B1" w:rsidRDefault="007F6DD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Key Relationships</w:t>
            </w:r>
          </w:p>
          <w:p w14:paraId="7401E1B5" w14:textId="77777777" w:rsidR="007F6DDA" w:rsidRPr="000602B1" w:rsidRDefault="007F6DD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334" w:type="dxa"/>
          </w:tcPr>
          <w:p w14:paraId="105F81DB" w14:textId="5D6077E5" w:rsidR="001E4740" w:rsidRDefault="00721BEC" w:rsidP="00E85037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Vital to the role is developing and maintaining strong and effective relationships with multiple stakeholders and decision-makers, including across </w:t>
            </w:r>
            <w:proofErr w:type="spellStart"/>
            <w:r w:rsidR="001B0526">
              <w:rPr>
                <w:rFonts w:ascii="Arial" w:hAnsi="Arial" w:cs="Arial"/>
                <w:sz w:val="22"/>
                <w:szCs w:val="22"/>
              </w:rPr>
              <w:t>MaPS</w:t>
            </w:r>
            <w:proofErr w:type="spellEnd"/>
            <w:r w:rsidR="001B0526">
              <w:rPr>
                <w:rFonts w:ascii="Arial" w:hAnsi="Arial" w:cs="Arial"/>
                <w:sz w:val="22"/>
                <w:szCs w:val="22"/>
              </w:rPr>
              <w:t xml:space="preserve"> and with </w:t>
            </w:r>
            <w:r w:rsidR="000928D4">
              <w:rPr>
                <w:rFonts w:ascii="Arial" w:hAnsi="Arial" w:cs="Arial"/>
                <w:sz w:val="22"/>
                <w:szCs w:val="22"/>
              </w:rPr>
              <w:t xml:space="preserve">organisations such as </w:t>
            </w:r>
            <w:r>
              <w:rPr>
                <w:rFonts w:ascii="Arial" w:hAnsi="Arial" w:cs="Arial"/>
                <w:sz w:val="22"/>
                <w:szCs w:val="22"/>
              </w:rPr>
              <w:t>DWP</w:t>
            </w:r>
            <w:r w:rsidR="000928D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B0526">
              <w:rPr>
                <w:rFonts w:ascii="Arial" w:hAnsi="Arial" w:cs="Arial"/>
                <w:sz w:val="22"/>
                <w:szCs w:val="22"/>
              </w:rPr>
              <w:t>HMT</w:t>
            </w:r>
            <w:r w:rsidR="000928D4">
              <w:rPr>
                <w:rFonts w:ascii="Arial" w:hAnsi="Arial" w:cs="Arial"/>
                <w:sz w:val="22"/>
                <w:szCs w:val="22"/>
              </w:rPr>
              <w:t xml:space="preserve"> or the FCA</w:t>
            </w:r>
            <w:r w:rsidR="001B0526">
              <w:rPr>
                <w:rFonts w:ascii="Arial" w:hAnsi="Arial" w:cs="Arial"/>
                <w:sz w:val="22"/>
                <w:szCs w:val="22"/>
              </w:rPr>
              <w:t xml:space="preserve">. There </w:t>
            </w:r>
            <w:r w:rsidR="001E4740">
              <w:rPr>
                <w:rFonts w:ascii="Arial" w:hAnsi="Arial" w:cs="Arial"/>
                <w:sz w:val="22"/>
                <w:szCs w:val="22"/>
              </w:rPr>
              <w:t xml:space="preserve">is also a </w:t>
            </w:r>
            <w:r w:rsidR="001B0526">
              <w:rPr>
                <w:rFonts w:ascii="Arial" w:hAnsi="Arial" w:cs="Arial"/>
                <w:sz w:val="22"/>
                <w:szCs w:val="22"/>
              </w:rPr>
              <w:t>need to work with suppliers such as BIT</w:t>
            </w:r>
            <w:r w:rsidR="001E4740">
              <w:rPr>
                <w:rFonts w:ascii="Arial" w:hAnsi="Arial" w:cs="Arial"/>
                <w:sz w:val="22"/>
                <w:szCs w:val="22"/>
              </w:rPr>
              <w:t xml:space="preserve">, Ipsos, Critical or CACI. </w:t>
            </w:r>
          </w:p>
          <w:p w14:paraId="3469D6CD" w14:textId="4DC771F8" w:rsidR="004F22C8" w:rsidRDefault="004F22C8" w:rsidP="00E85037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work on our debt modelling </w:t>
            </w:r>
            <w:r w:rsidR="000928D4">
              <w:rPr>
                <w:rFonts w:ascii="Arial" w:hAnsi="Arial" w:cs="Arial"/>
                <w:sz w:val="22"/>
                <w:szCs w:val="22"/>
              </w:rPr>
              <w:t xml:space="preserve">is likely to involve </w:t>
            </w:r>
            <w:r>
              <w:rPr>
                <w:rFonts w:ascii="Arial" w:hAnsi="Arial" w:cs="Arial"/>
                <w:sz w:val="22"/>
                <w:szCs w:val="22"/>
              </w:rPr>
              <w:t xml:space="preserve">building relationships </w:t>
            </w:r>
            <w:r w:rsidR="000928D4">
              <w:rPr>
                <w:rFonts w:ascii="Arial" w:hAnsi="Arial" w:cs="Arial"/>
                <w:sz w:val="22"/>
                <w:szCs w:val="22"/>
              </w:rPr>
              <w:t>with Devolved government</w:t>
            </w:r>
            <w:r w:rsidR="0063680B">
              <w:rPr>
                <w:rFonts w:ascii="Arial" w:hAnsi="Arial" w:cs="Arial"/>
                <w:sz w:val="22"/>
                <w:szCs w:val="22"/>
              </w:rPr>
              <w:t xml:space="preserve">s and </w:t>
            </w:r>
            <w:r w:rsidR="000928D4">
              <w:rPr>
                <w:rFonts w:ascii="Arial" w:hAnsi="Arial" w:cs="Arial"/>
                <w:sz w:val="22"/>
                <w:szCs w:val="22"/>
              </w:rPr>
              <w:t>debt organisations</w:t>
            </w:r>
            <w:r w:rsidR="006F600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73CCDE6" w14:textId="7FD5D478" w:rsidR="00836E2D" w:rsidRPr="00721BEC" w:rsidRDefault="00721BEC" w:rsidP="00E85037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F6DDA" w:rsidRPr="00F70E98" w14:paraId="5FD4DDFD" w14:textId="77777777" w:rsidTr="00531DCA">
        <w:tc>
          <w:tcPr>
            <w:tcW w:w="2014" w:type="dxa"/>
            <w:shd w:val="clear" w:color="auto" w:fill="B3FFFF"/>
          </w:tcPr>
          <w:p w14:paraId="024685F6" w14:textId="77777777" w:rsidR="007F6DDA" w:rsidRPr="000602B1" w:rsidRDefault="008801B4" w:rsidP="008E692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Person specification</w:t>
            </w:r>
          </w:p>
          <w:p w14:paraId="668DCF69" w14:textId="77777777" w:rsidR="007F6DDA" w:rsidRPr="000602B1" w:rsidRDefault="007F6DD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334" w:type="dxa"/>
          </w:tcPr>
          <w:p w14:paraId="695ACCF4" w14:textId="41B49AB1" w:rsidR="00721BEC" w:rsidRDefault="00721BEC" w:rsidP="008612F7">
            <w:pPr>
              <w:pStyle w:val="tablebullet"/>
              <w:numPr>
                <w:ilvl w:val="0"/>
                <w:numId w:val="0"/>
              </w:numPr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 w:rsidRPr="00F70E98">
              <w:rPr>
                <w:rFonts w:ascii="Arial" w:hAnsi="Arial" w:cs="Arial"/>
                <w:sz w:val="22"/>
                <w:szCs w:val="22"/>
              </w:rPr>
              <w:t>The post</w:t>
            </w:r>
            <w:r w:rsidR="00AA25F4" w:rsidRPr="00F70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E98">
              <w:rPr>
                <w:rFonts w:ascii="Arial" w:hAnsi="Arial" w:cs="Arial"/>
                <w:sz w:val="22"/>
                <w:szCs w:val="22"/>
              </w:rPr>
              <w:t xml:space="preserve">holder will need to demonstrate </w:t>
            </w:r>
            <w:r w:rsidR="0063680B" w:rsidRPr="00F70E98">
              <w:rPr>
                <w:rFonts w:ascii="Arial" w:hAnsi="Arial" w:cs="Arial"/>
                <w:sz w:val="22"/>
                <w:szCs w:val="22"/>
              </w:rPr>
              <w:t>excellent analyt</w:t>
            </w:r>
            <w:r w:rsidR="00F70E98" w:rsidRPr="00F70E98">
              <w:rPr>
                <w:rFonts w:ascii="Arial" w:hAnsi="Arial" w:cs="Arial"/>
                <w:sz w:val="22"/>
                <w:szCs w:val="22"/>
              </w:rPr>
              <w:t>ical skills,</w:t>
            </w:r>
            <w:r w:rsidR="00D27C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F78">
              <w:rPr>
                <w:rFonts w:ascii="Arial" w:hAnsi="Arial" w:cs="Arial"/>
                <w:sz w:val="22"/>
                <w:szCs w:val="22"/>
              </w:rPr>
              <w:t xml:space="preserve">effective </w:t>
            </w:r>
            <w:r w:rsidR="00D27C49">
              <w:rPr>
                <w:rFonts w:ascii="Arial" w:hAnsi="Arial" w:cs="Arial"/>
                <w:sz w:val="22"/>
                <w:szCs w:val="22"/>
              </w:rPr>
              <w:t xml:space="preserve">line management </w:t>
            </w:r>
            <w:r w:rsidR="0067035A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8612F7" w:rsidRPr="00F70E9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03F78">
              <w:rPr>
                <w:rFonts w:ascii="Arial" w:hAnsi="Arial" w:cs="Arial"/>
                <w:sz w:val="22"/>
                <w:szCs w:val="22"/>
              </w:rPr>
              <w:t>well-developed</w:t>
            </w:r>
            <w:r w:rsidR="008612F7" w:rsidRPr="00F70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E98">
              <w:rPr>
                <w:rFonts w:ascii="Arial" w:hAnsi="Arial" w:cs="Arial"/>
                <w:sz w:val="22"/>
                <w:szCs w:val="22"/>
              </w:rPr>
              <w:t>communication skills</w:t>
            </w:r>
            <w:r w:rsidR="00D07A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B743AF" w14:textId="4525C6DF" w:rsidR="006B5B9C" w:rsidRDefault="00D07A25" w:rsidP="006B5B9C">
            <w:pPr>
              <w:pStyle w:val="tablebullet"/>
              <w:numPr>
                <w:ilvl w:val="0"/>
                <w:numId w:val="0"/>
              </w:numPr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specifically</w:t>
            </w:r>
            <w:r w:rsidR="00E546FF">
              <w:rPr>
                <w:rFonts w:ascii="Arial" w:hAnsi="Arial" w:cs="Arial"/>
                <w:sz w:val="22"/>
                <w:szCs w:val="22"/>
              </w:rPr>
              <w:t>, the post holder will be able to</w:t>
            </w:r>
          </w:p>
          <w:p w14:paraId="347D6628" w14:textId="74C69414" w:rsidR="006B5B9C" w:rsidRDefault="00E03F78" w:rsidP="008612F7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Quickly u</w:t>
            </w:r>
            <w:r w:rsidR="006B5B9C">
              <w:rPr>
                <w:rFonts w:ascii="Arial" w:hAnsi="Arial" w:cs="Arial"/>
                <w:sz w:val="22"/>
                <w:szCs w:val="22"/>
              </w:rPr>
              <w:t>nderstand the organisation</w:t>
            </w:r>
            <w:r w:rsidR="00C45265">
              <w:rPr>
                <w:rFonts w:ascii="Arial" w:hAnsi="Arial" w:cs="Arial"/>
                <w:sz w:val="22"/>
                <w:szCs w:val="22"/>
              </w:rPr>
              <w:t xml:space="preserve">’s </w:t>
            </w:r>
            <w:r w:rsidR="006F600B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2934C8">
              <w:rPr>
                <w:rFonts w:ascii="Arial" w:hAnsi="Arial" w:cs="Arial"/>
                <w:sz w:val="22"/>
                <w:szCs w:val="22"/>
              </w:rPr>
              <w:t xml:space="preserve">design and </w:t>
            </w:r>
            <w:r w:rsidR="006F600B">
              <w:rPr>
                <w:rFonts w:ascii="Arial" w:hAnsi="Arial" w:cs="Arial"/>
                <w:sz w:val="22"/>
                <w:szCs w:val="22"/>
              </w:rPr>
              <w:t xml:space="preserve">analysis </w:t>
            </w:r>
            <w:r w:rsidR="006B5B9C">
              <w:rPr>
                <w:rFonts w:ascii="Arial" w:hAnsi="Arial" w:cs="Arial"/>
                <w:sz w:val="22"/>
                <w:szCs w:val="22"/>
              </w:rPr>
              <w:t>needs and</w:t>
            </w:r>
            <w:r w:rsidR="00C45265">
              <w:rPr>
                <w:rFonts w:ascii="Arial" w:hAnsi="Arial" w:cs="Arial"/>
                <w:sz w:val="22"/>
                <w:szCs w:val="22"/>
              </w:rPr>
              <w:t xml:space="preserve"> design appropriate solutions</w:t>
            </w:r>
            <w:r w:rsidR="00657B5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657B59">
              <w:rPr>
                <w:rFonts w:ascii="Arial" w:hAnsi="Arial" w:cs="Arial"/>
                <w:sz w:val="22"/>
                <w:szCs w:val="22"/>
              </w:rPr>
              <w:t>In particular the</w:t>
            </w:r>
            <w:proofErr w:type="gramEnd"/>
            <w:r w:rsidR="00657B59">
              <w:rPr>
                <w:rFonts w:ascii="Arial" w:hAnsi="Arial" w:cs="Arial"/>
                <w:sz w:val="22"/>
                <w:szCs w:val="22"/>
              </w:rPr>
              <w:t xml:space="preserve"> challenges of estimating over-indebtedness and the need for debt advice at a local </w:t>
            </w:r>
            <w:r w:rsidR="002D72CE">
              <w:rPr>
                <w:rFonts w:ascii="Arial" w:hAnsi="Arial" w:cs="Arial"/>
                <w:sz w:val="22"/>
                <w:szCs w:val="22"/>
              </w:rPr>
              <w:t>area level.</w:t>
            </w:r>
          </w:p>
          <w:p w14:paraId="36E99FB4" w14:textId="1AE85E03" w:rsidR="00721BEC" w:rsidRDefault="008612F7" w:rsidP="008612F7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  <w:r w:rsidRPr="00F70E98">
              <w:rPr>
                <w:rFonts w:ascii="Arial" w:hAnsi="Arial" w:cs="Arial"/>
                <w:sz w:val="22"/>
                <w:szCs w:val="22"/>
              </w:rPr>
              <w:t>W</w:t>
            </w:r>
            <w:r w:rsidR="00721BEC" w:rsidRPr="00F70E98">
              <w:rPr>
                <w:rFonts w:ascii="Arial" w:hAnsi="Arial" w:cs="Arial"/>
                <w:sz w:val="22"/>
                <w:szCs w:val="22"/>
              </w:rPr>
              <w:t xml:space="preserve">in the confidence of a wide range of senior stakeholders, </w:t>
            </w:r>
            <w:r w:rsidR="006B5B9C">
              <w:rPr>
                <w:rFonts w:ascii="Arial" w:hAnsi="Arial" w:cs="Arial"/>
                <w:sz w:val="22"/>
                <w:szCs w:val="22"/>
              </w:rPr>
              <w:t xml:space="preserve">both within </w:t>
            </w:r>
            <w:proofErr w:type="spellStart"/>
            <w:r w:rsidR="006B5B9C">
              <w:rPr>
                <w:rFonts w:ascii="Arial" w:hAnsi="Arial" w:cs="Arial"/>
                <w:sz w:val="22"/>
                <w:szCs w:val="22"/>
              </w:rPr>
              <w:t>MaPS</w:t>
            </w:r>
            <w:proofErr w:type="spellEnd"/>
            <w:r w:rsidR="006B5B9C">
              <w:rPr>
                <w:rFonts w:ascii="Arial" w:hAnsi="Arial" w:cs="Arial"/>
                <w:sz w:val="22"/>
                <w:szCs w:val="22"/>
              </w:rPr>
              <w:t xml:space="preserve"> and across the sector</w:t>
            </w:r>
            <w:r w:rsidR="00721BEC" w:rsidRPr="00F70E9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6B582E" w14:textId="15BD92EC" w:rsidR="00E03F78" w:rsidRPr="00F70E98" w:rsidRDefault="00E03F78" w:rsidP="008612F7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complex analyses to a ‘lay’ audience</w:t>
            </w:r>
            <w:r w:rsidR="003050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A08D3D" w14:textId="012BBA55" w:rsidR="00721BEC" w:rsidRDefault="006B5B9C" w:rsidP="008612F7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21BEC" w:rsidRPr="00F70E98">
              <w:rPr>
                <w:rFonts w:ascii="Arial" w:hAnsi="Arial" w:cs="Arial"/>
                <w:sz w:val="22"/>
                <w:szCs w:val="22"/>
              </w:rPr>
              <w:t xml:space="preserve">emonstrate excellent </w:t>
            </w:r>
            <w:r w:rsidR="008612F7" w:rsidRPr="00F70E98">
              <w:rPr>
                <w:rFonts w:ascii="Arial" w:hAnsi="Arial" w:cs="Arial"/>
                <w:sz w:val="22"/>
                <w:szCs w:val="22"/>
              </w:rPr>
              <w:t xml:space="preserve">leadership and </w:t>
            </w:r>
            <w:r w:rsidR="00721BEC" w:rsidRPr="00F70E98">
              <w:rPr>
                <w:rFonts w:ascii="Arial" w:hAnsi="Arial" w:cs="Arial"/>
                <w:sz w:val="22"/>
                <w:szCs w:val="22"/>
              </w:rPr>
              <w:t>management skills, acting as a role model to the rest of the team</w:t>
            </w:r>
            <w:r w:rsidR="00C45265">
              <w:rPr>
                <w:rFonts w:ascii="Arial" w:hAnsi="Arial" w:cs="Arial"/>
                <w:sz w:val="22"/>
                <w:szCs w:val="22"/>
              </w:rPr>
              <w:t xml:space="preserve"> and providing coaching and 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597F41F" w14:textId="77DAEC6D" w:rsidR="002D72CE" w:rsidRDefault="002D72CE" w:rsidP="008612F7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well with the broader Insight &amp; Evaluation team</w:t>
            </w:r>
          </w:p>
          <w:p w14:paraId="2E72082D" w14:textId="3C3A1299" w:rsidR="00E03F78" w:rsidRPr="00F70E98" w:rsidRDefault="00E03F78" w:rsidP="008612F7">
            <w:pPr>
              <w:pStyle w:val="tablebulle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on statistical tools and techniques</w:t>
            </w:r>
          </w:p>
          <w:p w14:paraId="0089AA6D" w14:textId="77777777" w:rsidR="00234420" w:rsidRPr="00F70E98" w:rsidRDefault="00234420" w:rsidP="00EB115B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248" w:type="dxa"/>
              <w:tblInd w:w="150" w:type="dxa"/>
              <w:tblLook w:val="04A0" w:firstRow="1" w:lastRow="0" w:firstColumn="1" w:lastColumn="0" w:noHBand="0" w:noVBand="1"/>
            </w:tblPr>
            <w:tblGrid>
              <w:gridCol w:w="3696"/>
              <w:gridCol w:w="1170"/>
              <w:gridCol w:w="1060"/>
              <w:gridCol w:w="1464"/>
            </w:tblGrid>
            <w:tr w:rsidR="00234420" w:rsidRPr="00F70E98" w14:paraId="67BF6097" w14:textId="77777777" w:rsidTr="000602B1">
              <w:trPr>
                <w:trHeight w:val="43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BBD96" w14:textId="77777777" w:rsidR="00234420" w:rsidRPr="00F70E98" w:rsidRDefault="00234420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E98">
                    <w:rPr>
                      <w:rFonts w:ascii="Arial" w:hAnsi="Arial" w:cs="Arial"/>
                      <w:sz w:val="22"/>
                      <w:szCs w:val="22"/>
                    </w:rPr>
                    <w:t>Experience / Skills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500DB" w14:textId="77777777" w:rsidR="00234420" w:rsidRPr="00F70E98" w:rsidRDefault="00234420" w:rsidP="002344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E98">
                    <w:rPr>
                      <w:rFonts w:ascii="Arial" w:hAnsi="Arial" w:cs="Arial"/>
                      <w:sz w:val="22"/>
                      <w:szCs w:val="22"/>
                    </w:rPr>
                    <w:t>Required</w:t>
                  </w:r>
                </w:p>
                <w:p w14:paraId="577E9CEF" w14:textId="77777777" w:rsidR="00234420" w:rsidRPr="00F70E98" w:rsidRDefault="00234420" w:rsidP="002344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E98">
                    <w:rPr>
                      <w:rFonts w:ascii="Arial" w:hAnsi="Arial" w:cs="Arial"/>
                      <w:sz w:val="22"/>
                      <w:szCs w:val="22"/>
                    </w:rPr>
                    <w:t>(Y/N)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772B0" w14:textId="77777777" w:rsidR="00234420" w:rsidRPr="00F70E98" w:rsidRDefault="00234420" w:rsidP="00EB115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8D79910" w14:textId="77777777" w:rsidR="00234420" w:rsidRPr="00F70E98" w:rsidRDefault="00234420" w:rsidP="002344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E98">
                    <w:rPr>
                      <w:rFonts w:ascii="Arial" w:hAnsi="Arial" w:cs="Arial"/>
                      <w:sz w:val="22"/>
                      <w:szCs w:val="22"/>
                    </w:rPr>
                    <w:t>Could be acquired</w:t>
                  </w:r>
                </w:p>
                <w:p w14:paraId="1217CD76" w14:textId="77777777" w:rsidR="00234420" w:rsidRPr="00F70E98" w:rsidRDefault="00234420" w:rsidP="0023442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E98">
                    <w:rPr>
                      <w:rFonts w:ascii="Arial" w:hAnsi="Arial" w:cs="Arial"/>
                      <w:sz w:val="22"/>
                      <w:szCs w:val="22"/>
                    </w:rPr>
                    <w:t>(Y/N)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1E8C2" w14:textId="77777777" w:rsidR="00234420" w:rsidRPr="00F70E98" w:rsidRDefault="00234420" w:rsidP="00EB115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E98">
                    <w:rPr>
                      <w:rFonts w:ascii="Arial" w:hAnsi="Arial" w:cs="Arial"/>
                      <w:sz w:val="22"/>
                      <w:szCs w:val="22"/>
                    </w:rPr>
                    <w:t>Frequency of use</w:t>
                  </w:r>
                </w:p>
                <w:p w14:paraId="33BB197E" w14:textId="77777777" w:rsidR="00234420" w:rsidRPr="00F70E98" w:rsidRDefault="00234420" w:rsidP="00EB115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E98">
                    <w:rPr>
                      <w:rFonts w:ascii="Arial" w:hAnsi="Arial" w:cs="Arial"/>
                      <w:sz w:val="22"/>
                      <w:szCs w:val="22"/>
                    </w:rPr>
                    <w:t>(Frequently/</w:t>
                  </w:r>
                </w:p>
                <w:p w14:paraId="2BCDC766" w14:textId="77777777" w:rsidR="00234420" w:rsidRPr="00F70E98" w:rsidRDefault="00234420" w:rsidP="00EB115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E98">
                    <w:rPr>
                      <w:rFonts w:ascii="Arial" w:hAnsi="Arial" w:cs="Arial"/>
                      <w:sz w:val="22"/>
                      <w:szCs w:val="22"/>
                    </w:rPr>
                    <w:t>Occasionally</w:t>
                  </w:r>
                </w:p>
                <w:p w14:paraId="1067589E" w14:textId="77777777" w:rsidR="00234420" w:rsidRPr="00F70E98" w:rsidRDefault="00234420" w:rsidP="00EB115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0E98">
                    <w:rPr>
                      <w:rFonts w:ascii="Arial" w:hAnsi="Arial" w:cs="Arial"/>
                      <w:sz w:val="22"/>
                      <w:szCs w:val="22"/>
                    </w:rPr>
                    <w:t>Never)</w:t>
                  </w:r>
                </w:p>
              </w:tc>
            </w:tr>
            <w:tr w:rsidR="00234420" w:rsidRPr="00F70E98" w14:paraId="582AA7E4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6DBA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Problem Structuring/Formulation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234F7D" w14:textId="20BB41AD" w:rsidR="00234420" w:rsidRPr="002451EA" w:rsidRDefault="006F4DDB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D3CDC" w14:textId="77777777" w:rsidR="00234420" w:rsidRPr="00FC7B72" w:rsidRDefault="005A32A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4A495" w14:textId="77777777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  <w:tr w:rsidR="00234420" w:rsidRPr="00F70E98" w14:paraId="35371E0C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77C5C5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Behavioural Science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EAFEA4" w14:textId="4AD33B26" w:rsidR="00234420" w:rsidRPr="002451EA" w:rsidRDefault="006F4DDB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7BEF4" w14:textId="77777777" w:rsidR="00234420" w:rsidRPr="00FC7B72" w:rsidRDefault="00E8503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58DA0" w14:textId="6BE8FB36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="006F4DDB">
                    <w:rPr>
                      <w:rFonts w:ascii="Arial" w:hAnsi="Arial" w:cs="Arial"/>
                      <w:sz w:val="22"/>
                      <w:szCs w:val="22"/>
                    </w:rPr>
                    <w:t>/O</w:t>
                  </w:r>
                </w:p>
              </w:tc>
            </w:tr>
            <w:tr w:rsidR="00234420" w:rsidRPr="00F70E98" w14:paraId="10CDF058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8893EB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Qualitative Research Techniques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9F64E0" w14:textId="63FA3057" w:rsidR="00234420" w:rsidRPr="002451EA" w:rsidRDefault="006F4DDB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DE2A8" w14:textId="77777777" w:rsidR="00234420" w:rsidRPr="00FC7B72" w:rsidRDefault="00E8503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D157B" w14:textId="1CB94C6E" w:rsidR="00234420" w:rsidRPr="002451EA" w:rsidRDefault="002D72CE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234420" w:rsidRPr="00F70E98" w14:paraId="1EE956B3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8A1F95" w14:textId="77777777" w:rsidR="00234420" w:rsidRPr="002451EA" w:rsidRDefault="00A12951" w:rsidP="00D275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Quantitative Techniques e.g</w:t>
                  </w:r>
                  <w:r w:rsidR="00DC2492" w:rsidRPr="002451EA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 xml:space="preserve"> Statistics, Forecasting, Predictive Methods, Modelling, Optimisation, Risk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EA7923" w14:textId="194F3256" w:rsidR="00234420" w:rsidRPr="002451EA" w:rsidRDefault="00FC7B72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5FDAB" w14:textId="77777777" w:rsidR="00234420" w:rsidRPr="00FC7B72" w:rsidRDefault="00E8503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16DAE" w14:textId="77777777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  <w:tr w:rsidR="00234420" w:rsidRPr="00F70E98" w14:paraId="15A5D810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FC420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Appraisal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3FB2F" w14:textId="0E4ADC4B" w:rsidR="00234420" w:rsidRPr="002451EA" w:rsidRDefault="00FC7B72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801C8" w14:textId="77777777" w:rsidR="00234420" w:rsidRPr="00FC7B72" w:rsidRDefault="005A32A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928F9" w14:textId="77777777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  <w:tr w:rsidR="00234420" w:rsidRPr="00F70E98" w14:paraId="224E6595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5E9E2E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Evaluation Methods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6FF4F" w14:textId="68F1F4EC" w:rsidR="00234420" w:rsidRPr="002451EA" w:rsidRDefault="00FC7B72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D672C" w14:textId="77777777" w:rsidR="00234420" w:rsidRPr="00FC7B72" w:rsidRDefault="005A32A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C4ED" w14:textId="77777777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  <w:tr w:rsidR="00234420" w:rsidRPr="00F70E98" w14:paraId="07EA9795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9BC26C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Research Commissioning and Management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7E730A" w14:textId="552BFB4B" w:rsidR="00234420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Y/N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01D40" w14:textId="77777777" w:rsidR="00234420" w:rsidRPr="00FC7B72" w:rsidRDefault="005A32A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EF931" w14:textId="239E6554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="00221A28">
                    <w:rPr>
                      <w:rFonts w:ascii="Arial" w:hAnsi="Arial" w:cs="Arial"/>
                      <w:sz w:val="22"/>
                      <w:szCs w:val="22"/>
                    </w:rPr>
                    <w:t>/O</w:t>
                  </w:r>
                </w:p>
              </w:tc>
            </w:tr>
            <w:tr w:rsidR="00234420" w:rsidRPr="00F70E98" w14:paraId="132622A4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5ED3E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Performance Measurement &amp; Assessment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2B539E" w14:textId="0EA216CB" w:rsidR="00234420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3A40C" w14:textId="77777777" w:rsidR="00234420" w:rsidRPr="00FC7B72" w:rsidRDefault="002451EA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93D6B" w14:textId="77777777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234420" w:rsidRPr="00F70E98" w14:paraId="3E1E6DDE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BAF37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Data Development &amp; Exploitation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4DAF52" w14:textId="72DD99BD" w:rsidR="00234420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B8434" w14:textId="77777777" w:rsidR="00234420" w:rsidRPr="00FC7B72" w:rsidRDefault="005A32A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B8732" w14:textId="77777777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  <w:tr w:rsidR="00234420" w:rsidRPr="00F70E98" w14:paraId="3DCC3E5D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69BC49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Data Dissemination &amp; Visualisation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68FFCE" w14:textId="7B5123F6" w:rsidR="00234420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A6005" w14:textId="77777777" w:rsidR="00234420" w:rsidRPr="00FC7B72" w:rsidRDefault="005A32A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28605" w14:textId="77777777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  <w:tr w:rsidR="00234420" w:rsidRPr="00F70E98" w14:paraId="62C15199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8159BD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Knowledge DWP Finance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5C8D58" w14:textId="3A5FCDCA" w:rsidR="00234420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708BC" w14:textId="77777777" w:rsidR="00234420" w:rsidRPr="00FC7B72" w:rsidRDefault="00E8503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7151A" w14:textId="607DB050" w:rsidR="00234420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</w:tr>
            <w:tr w:rsidR="00234420" w:rsidRPr="00F70E98" w14:paraId="596A7AEC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43B8A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Knowledge of Fiscal Process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4CF89E" w14:textId="50E1CE3E" w:rsidR="00234420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ABD49" w14:textId="77777777" w:rsidR="00234420" w:rsidRPr="00FC7B72" w:rsidRDefault="00E8503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C64FA" w14:textId="273FCC88" w:rsidR="00234420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</w:tr>
            <w:tr w:rsidR="00234420" w:rsidRPr="00F70E98" w14:paraId="3BFCDD99" w14:textId="77777777" w:rsidTr="0050204E">
              <w:trPr>
                <w:trHeight w:val="435"/>
              </w:trPr>
              <w:tc>
                <w:tcPr>
                  <w:tcW w:w="3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AA11A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Commercial Knowledge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0340ED" w14:textId="559649FC" w:rsidR="00234420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EC62C" w14:textId="77777777" w:rsidR="00234420" w:rsidRPr="00FC7B72" w:rsidRDefault="002451EA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56C69" w14:textId="77777777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234420" w:rsidRPr="00F70E98" w14:paraId="1BD4CDAC" w14:textId="77777777" w:rsidTr="0050204E">
              <w:trPr>
                <w:trHeight w:val="51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CE0E2C" w14:textId="77777777" w:rsidR="00234420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 xml:space="preserve">Data Security/Protection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0294C9" w14:textId="01A12B75" w:rsidR="00234420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2C4F3" w14:textId="77777777" w:rsidR="00234420" w:rsidRPr="00FC7B72" w:rsidRDefault="002451EA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A87B4" w14:textId="77777777" w:rsidR="00234420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A12951" w:rsidRPr="00F70E98" w14:paraId="7B73434D" w14:textId="77777777" w:rsidTr="0050204E">
              <w:trPr>
                <w:trHeight w:val="51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30BB0" w14:textId="77777777" w:rsidR="00A12951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Working with Ministers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42E5D" w14:textId="49E0B060" w:rsidR="00A12951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6DF1" w14:textId="77777777" w:rsidR="00A12951" w:rsidRPr="00FC7B72" w:rsidRDefault="00A12951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D8D52" w14:textId="33563E5C" w:rsidR="00A12951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A12951" w:rsidRPr="00F70E98" w14:paraId="1E989BAE" w14:textId="77777777" w:rsidTr="0050204E">
              <w:trPr>
                <w:trHeight w:val="51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9C9E0" w14:textId="77777777" w:rsidR="00A12951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Knowledge of Operations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2553E" w14:textId="0EA30C7E" w:rsidR="00A12951" w:rsidRPr="002451EA" w:rsidRDefault="00221A28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CEE35" w14:textId="77777777" w:rsidR="00A12951" w:rsidRPr="00FC7B72" w:rsidRDefault="002451EA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B5A6C" w14:textId="6824DE00" w:rsidR="00A12951" w:rsidRPr="002451EA" w:rsidRDefault="007D0E04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A12951" w:rsidRPr="00F70E98" w14:paraId="54AD97CB" w14:textId="77777777" w:rsidTr="0050204E">
              <w:trPr>
                <w:trHeight w:val="51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92FC3" w14:textId="77777777" w:rsidR="00A12951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OGD Experience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CA259B" w14:textId="69659D5C" w:rsidR="00A12951" w:rsidRPr="002451EA" w:rsidRDefault="007D0E04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17602" w14:textId="77777777" w:rsidR="00A12951" w:rsidRPr="00FC7B72" w:rsidRDefault="005A32A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92E99" w14:textId="52AFA09A" w:rsidR="00A12951" w:rsidRPr="002451EA" w:rsidRDefault="007D0E04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</w:tr>
            <w:tr w:rsidR="00A12951" w:rsidRPr="00F70E98" w14:paraId="6218610E" w14:textId="77777777" w:rsidTr="0050204E">
              <w:trPr>
                <w:trHeight w:val="51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A53C63" w14:textId="77777777" w:rsidR="00A12951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Applying Statistics Code of Practice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A5C2F" w14:textId="36B122C4" w:rsidR="00A12951" w:rsidRPr="002451EA" w:rsidRDefault="007D0E04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F5616" w14:textId="77777777" w:rsidR="00A12951" w:rsidRPr="00FC7B72" w:rsidRDefault="005A32A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649C2" w14:textId="77777777" w:rsidR="00A12951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  <w:tr w:rsidR="00A12951" w:rsidRPr="00F70E98" w14:paraId="13AAED8A" w14:textId="77777777" w:rsidTr="0050204E">
              <w:trPr>
                <w:trHeight w:val="51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5049A9" w14:textId="77777777" w:rsidR="00A12951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Quality Assurance Methods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26CC63" w14:textId="77777777" w:rsidR="00A12951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BAC55" w14:textId="77777777" w:rsidR="00A12951" w:rsidRPr="00FC7B72" w:rsidRDefault="00A12951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F25D3" w14:textId="77777777" w:rsidR="00A12951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  <w:tr w:rsidR="00A12951" w:rsidRPr="00F70E98" w14:paraId="0D44C39B" w14:textId="77777777" w:rsidTr="0050204E">
              <w:trPr>
                <w:trHeight w:val="51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679177" w14:textId="77777777" w:rsidR="00A12951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Knowledge of Legislation/Parliamentary Process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43CE6" w14:textId="51009613" w:rsidR="00A12951" w:rsidRPr="002451EA" w:rsidRDefault="007D0E04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12603" w14:textId="77777777" w:rsidR="00A12951" w:rsidRPr="00FC7B72" w:rsidRDefault="00A12951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C0E7E" w14:textId="38F7FE1D" w:rsidR="00A12951" w:rsidRPr="002451EA" w:rsidRDefault="007D0E04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</w:t>
                  </w:r>
                </w:p>
              </w:tc>
            </w:tr>
            <w:tr w:rsidR="00A12951" w:rsidRPr="00F70E98" w14:paraId="23074FB8" w14:textId="77777777" w:rsidTr="0050204E">
              <w:trPr>
                <w:trHeight w:val="51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10BDE5" w14:textId="77777777" w:rsidR="00A12951" w:rsidRPr="002451EA" w:rsidRDefault="00A12951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Wider Stakeholder Engagement</w:t>
                  </w:r>
                  <w:proofErr w:type="gramStart"/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-  using</w:t>
                  </w:r>
                  <w:proofErr w:type="gramEnd"/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 xml:space="preserve"> wider evidence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1B096" w14:textId="77777777" w:rsidR="00A12951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065C1" w14:textId="77777777" w:rsidR="00A12951" w:rsidRPr="00FC7B72" w:rsidRDefault="00A12951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C48F3" w14:textId="77777777" w:rsidR="00A12951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  <w:tr w:rsidR="00EB115B" w:rsidRPr="00F70E98" w14:paraId="7B427CA2" w14:textId="77777777" w:rsidTr="0050204E">
              <w:trPr>
                <w:trHeight w:val="510"/>
              </w:trPr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A1D95" w14:textId="77777777" w:rsidR="00EB115B" w:rsidRPr="002451EA" w:rsidRDefault="00EB115B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F9DD1DE" w14:textId="77777777" w:rsidR="00EB115B" w:rsidRPr="002451EA" w:rsidRDefault="002451EA" w:rsidP="002344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Impact Assessments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90B56" w14:textId="1CDC81E4" w:rsidR="00EB115B" w:rsidRPr="002451EA" w:rsidRDefault="007D0E04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4CC57" w14:textId="77777777" w:rsidR="00EB115B" w:rsidRPr="00FC7B72" w:rsidRDefault="005A32A7" w:rsidP="0050204E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FC7B72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0073D" w14:textId="77777777" w:rsidR="00EB115B" w:rsidRPr="002451EA" w:rsidRDefault="002451EA" w:rsidP="0050204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51EA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</w:tr>
          </w:tbl>
          <w:p w14:paraId="40B44C03" w14:textId="77777777" w:rsidR="00234420" w:rsidRPr="00F70E98" w:rsidRDefault="00234420" w:rsidP="00EB115B">
            <w:pPr>
              <w:overflowPunct w:val="0"/>
              <w:autoSpaceDE w:val="0"/>
              <w:autoSpaceDN w:val="0"/>
              <w:spacing w:before="60" w:after="6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E36722" w14:textId="77777777" w:rsidR="00383C1A" w:rsidRPr="000602B1" w:rsidRDefault="00383C1A" w:rsidP="00E04C2F">
      <w:pPr>
        <w:rPr>
          <w:sz w:val="22"/>
          <w:szCs w:val="22"/>
        </w:rPr>
      </w:pPr>
    </w:p>
    <w:p w14:paraId="65F83900" w14:textId="77777777" w:rsidR="00E04C2F" w:rsidRPr="00A15E89" w:rsidRDefault="00D37797" w:rsidP="00E04C2F">
      <w:pPr>
        <w:rPr>
          <w:rFonts w:ascii="Arial" w:hAnsi="Arial"/>
          <w:b/>
          <w:bCs/>
          <w:sz w:val="22"/>
          <w:szCs w:val="22"/>
        </w:rPr>
      </w:pPr>
      <w:r w:rsidRPr="00A15E89">
        <w:rPr>
          <w:rFonts w:ascii="Arial" w:hAnsi="Arial"/>
          <w:b/>
          <w:bCs/>
          <w:sz w:val="22"/>
          <w:szCs w:val="22"/>
        </w:rPr>
        <w:t xml:space="preserve">Development Opportunities &amp; </w:t>
      </w:r>
      <w:r w:rsidR="00E04C2F" w:rsidRPr="00A15E89">
        <w:rPr>
          <w:rFonts w:ascii="Arial" w:hAnsi="Arial"/>
          <w:b/>
          <w:bCs/>
          <w:sz w:val="22"/>
          <w:szCs w:val="22"/>
        </w:rPr>
        <w:t xml:space="preserve">Assessment of ‘Stretch’ of Role </w:t>
      </w:r>
    </w:p>
    <w:p w14:paraId="7EAF90EF" w14:textId="77777777" w:rsidR="00E04C2F" w:rsidRPr="000602B1" w:rsidRDefault="00E04C2F" w:rsidP="00C809A7">
      <w:pPr>
        <w:rPr>
          <w:sz w:val="22"/>
          <w:szCs w:val="22"/>
        </w:rPr>
      </w:pPr>
    </w:p>
    <w:p w14:paraId="30581C28" w14:textId="77777777" w:rsidR="00FE7069" w:rsidRPr="00CB3676" w:rsidRDefault="00CB3676" w:rsidP="00C809A7">
      <w:pPr>
        <w:rPr>
          <w:rFonts w:ascii="Arial" w:hAnsi="Arial"/>
          <w:i/>
          <w:sz w:val="22"/>
          <w:szCs w:val="22"/>
        </w:rPr>
      </w:pPr>
      <w:r w:rsidRPr="00CB3676">
        <w:rPr>
          <w:rFonts w:ascii="Arial" w:hAnsi="Arial"/>
          <w:i/>
          <w:sz w:val="22"/>
          <w:szCs w:val="22"/>
        </w:rPr>
        <w:t>&lt;</w:t>
      </w:r>
      <w:r w:rsidR="00E04C2F" w:rsidRPr="00CB3676">
        <w:rPr>
          <w:rFonts w:ascii="Arial" w:hAnsi="Arial"/>
          <w:i/>
          <w:sz w:val="22"/>
          <w:szCs w:val="22"/>
        </w:rPr>
        <w:t xml:space="preserve">Please consider the role and the development opportunities it </w:t>
      </w:r>
      <w:r w:rsidR="00BD4859" w:rsidRPr="00CB3676">
        <w:rPr>
          <w:rFonts w:ascii="Arial" w:hAnsi="Arial"/>
          <w:i/>
          <w:sz w:val="22"/>
          <w:szCs w:val="22"/>
        </w:rPr>
        <w:t xml:space="preserve">will provide </w:t>
      </w:r>
      <w:r w:rsidR="007C0587" w:rsidRPr="00CB3676">
        <w:rPr>
          <w:rFonts w:ascii="Arial" w:hAnsi="Arial"/>
          <w:i/>
          <w:sz w:val="22"/>
          <w:szCs w:val="22"/>
        </w:rPr>
        <w:t>over the next 12 months and</w:t>
      </w:r>
      <w:r w:rsidR="00606A7F" w:rsidRPr="00CB3676">
        <w:rPr>
          <w:rFonts w:ascii="Arial" w:hAnsi="Arial"/>
          <w:i/>
          <w:sz w:val="22"/>
          <w:szCs w:val="22"/>
        </w:rPr>
        <w:t xml:space="preserve"> onwards.</w:t>
      </w:r>
      <w:r w:rsidR="00E04C2F" w:rsidRPr="00CB3676">
        <w:rPr>
          <w:rFonts w:ascii="Arial" w:hAnsi="Arial"/>
          <w:i/>
          <w:sz w:val="22"/>
          <w:szCs w:val="22"/>
        </w:rPr>
        <w:t xml:space="preserve">  For each job dimension listed in the table below, </w:t>
      </w:r>
      <w:r w:rsidR="00EE747B" w:rsidRPr="00CB3676">
        <w:rPr>
          <w:rFonts w:ascii="Arial" w:hAnsi="Arial"/>
          <w:i/>
          <w:sz w:val="22"/>
          <w:szCs w:val="22"/>
        </w:rPr>
        <w:t>please tick if the role is ‘stretching’ or ‘very stretching’.</w:t>
      </w:r>
      <w:r w:rsidR="00CA3C13" w:rsidRPr="00CB3676">
        <w:rPr>
          <w:rFonts w:ascii="Arial" w:hAnsi="Arial"/>
          <w:i/>
          <w:sz w:val="22"/>
          <w:szCs w:val="22"/>
        </w:rPr>
        <w:t xml:space="preserve"> </w:t>
      </w:r>
      <w:r w:rsidR="00EE747B" w:rsidRPr="00CB3676">
        <w:rPr>
          <w:rFonts w:ascii="Arial" w:hAnsi="Arial"/>
          <w:i/>
          <w:sz w:val="22"/>
          <w:szCs w:val="22"/>
        </w:rPr>
        <w:t xml:space="preserve"> </w:t>
      </w:r>
      <w:r w:rsidR="00FE7069" w:rsidRPr="00CB3676">
        <w:rPr>
          <w:rFonts w:ascii="Arial" w:hAnsi="Arial"/>
          <w:i/>
          <w:sz w:val="22"/>
          <w:szCs w:val="22"/>
        </w:rPr>
        <w:t>To note:</w:t>
      </w:r>
    </w:p>
    <w:p w14:paraId="3F3D03C5" w14:textId="77777777" w:rsidR="00FE7069" w:rsidRPr="00CB3676" w:rsidRDefault="00EE747B" w:rsidP="003F1156">
      <w:pPr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CB3676">
        <w:rPr>
          <w:rFonts w:ascii="Arial" w:hAnsi="Arial"/>
          <w:i/>
          <w:sz w:val="22"/>
          <w:szCs w:val="22"/>
        </w:rPr>
        <w:t xml:space="preserve">It is </w:t>
      </w:r>
      <w:r w:rsidR="00E96B51" w:rsidRPr="00CB3676">
        <w:rPr>
          <w:rFonts w:ascii="Arial" w:hAnsi="Arial"/>
          <w:i/>
          <w:sz w:val="22"/>
          <w:szCs w:val="22"/>
        </w:rPr>
        <w:t xml:space="preserve">not </w:t>
      </w:r>
      <w:r w:rsidRPr="00CB3676">
        <w:rPr>
          <w:rFonts w:ascii="Arial" w:hAnsi="Arial"/>
          <w:i/>
          <w:sz w:val="22"/>
          <w:szCs w:val="22"/>
        </w:rPr>
        <w:t xml:space="preserve">expected that all </w:t>
      </w:r>
      <w:r w:rsidR="00641C95">
        <w:rPr>
          <w:rFonts w:ascii="Arial" w:hAnsi="Arial"/>
          <w:i/>
          <w:sz w:val="22"/>
          <w:szCs w:val="22"/>
        </w:rPr>
        <w:t>G6</w:t>
      </w:r>
      <w:r w:rsidRPr="00CB3676">
        <w:rPr>
          <w:rFonts w:ascii="Arial" w:hAnsi="Arial"/>
          <w:i/>
          <w:sz w:val="22"/>
          <w:szCs w:val="22"/>
        </w:rPr>
        <w:t xml:space="preserve"> roles are stretching across all the job dimensions, but we want to identify which roles have ‘very stretching’ elements.  </w:t>
      </w:r>
    </w:p>
    <w:p w14:paraId="22C68338" w14:textId="77777777" w:rsidR="00FE7069" w:rsidRPr="00CB3676" w:rsidRDefault="00EE747B" w:rsidP="003F1156">
      <w:pPr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CB3676">
        <w:rPr>
          <w:rFonts w:ascii="Arial" w:hAnsi="Arial"/>
          <w:i/>
          <w:sz w:val="22"/>
          <w:szCs w:val="22"/>
        </w:rPr>
        <w:t>‘Very stretching’ means that the role is</w:t>
      </w:r>
      <w:r w:rsidR="00CC17AC" w:rsidRPr="00CB3676">
        <w:rPr>
          <w:rFonts w:ascii="Arial" w:hAnsi="Arial"/>
          <w:i/>
          <w:sz w:val="22"/>
          <w:szCs w:val="22"/>
        </w:rPr>
        <w:t xml:space="preserve"> particularly challenging at </w:t>
      </w:r>
      <w:r w:rsidR="00641C95">
        <w:rPr>
          <w:rFonts w:ascii="Arial" w:hAnsi="Arial"/>
          <w:i/>
          <w:sz w:val="22"/>
          <w:szCs w:val="22"/>
        </w:rPr>
        <w:t>G6</w:t>
      </w:r>
      <w:r w:rsidR="00CC17AC" w:rsidRPr="00CB3676">
        <w:rPr>
          <w:rFonts w:ascii="Arial" w:hAnsi="Arial"/>
          <w:i/>
          <w:sz w:val="22"/>
          <w:szCs w:val="22"/>
        </w:rPr>
        <w:t xml:space="preserve"> level </w:t>
      </w:r>
      <w:r w:rsidRPr="00CB3676">
        <w:rPr>
          <w:rFonts w:ascii="Arial" w:hAnsi="Arial"/>
          <w:i/>
          <w:sz w:val="22"/>
          <w:szCs w:val="22"/>
        </w:rPr>
        <w:t>– i.e. it is at or approaching G6 level.</w:t>
      </w:r>
    </w:p>
    <w:p w14:paraId="34A4CF57" w14:textId="77777777" w:rsidR="00E04C2F" w:rsidRPr="00CB3676" w:rsidRDefault="00EE747B" w:rsidP="003F1156">
      <w:pPr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CB3676">
        <w:rPr>
          <w:rFonts w:ascii="Arial" w:hAnsi="Arial"/>
          <w:i/>
          <w:sz w:val="22"/>
          <w:szCs w:val="22"/>
        </w:rPr>
        <w:t>I</w:t>
      </w:r>
      <w:r w:rsidR="00E04C2F" w:rsidRPr="00CB3676">
        <w:rPr>
          <w:rFonts w:ascii="Arial" w:hAnsi="Arial"/>
          <w:i/>
          <w:sz w:val="22"/>
          <w:szCs w:val="22"/>
        </w:rPr>
        <w:t>t is not expected that any role would be categorised as ‘very stretching’ on mo</w:t>
      </w:r>
      <w:r w:rsidR="00CB3676">
        <w:rPr>
          <w:rFonts w:ascii="Arial" w:hAnsi="Arial"/>
          <w:i/>
          <w:sz w:val="22"/>
          <w:szCs w:val="22"/>
        </w:rPr>
        <w:t>re than 3 dimensions at most.</w:t>
      </w:r>
      <w:r w:rsidR="00CB3676" w:rsidRPr="00CB3676">
        <w:rPr>
          <w:rFonts w:ascii="Arial" w:hAnsi="Arial"/>
          <w:i/>
          <w:sz w:val="22"/>
          <w:szCs w:val="22"/>
        </w:rPr>
        <w:t>&gt;</w:t>
      </w:r>
    </w:p>
    <w:p w14:paraId="3C405E4E" w14:textId="77777777" w:rsidR="006E0879" w:rsidRPr="000602B1" w:rsidRDefault="006E0879" w:rsidP="00C809A7">
      <w:pPr>
        <w:rPr>
          <w:sz w:val="22"/>
          <w:szCs w:val="22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276"/>
        <w:gridCol w:w="1474"/>
        <w:gridCol w:w="1701"/>
      </w:tblGrid>
      <w:tr w:rsidR="00E96B51" w:rsidRPr="000602B1" w14:paraId="09716E90" w14:textId="77777777" w:rsidTr="00A15E89"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14:paraId="0C6EADB5" w14:textId="77777777" w:rsidR="00E96B51" w:rsidRPr="000602B1" w:rsidRDefault="00E96B51" w:rsidP="00021E4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Assessment of stretch within role (please tick box </w:t>
            </w:r>
            <w:r w:rsidRPr="000602B1">
              <w:rPr>
                <w:rFonts w:ascii="Arial" w:hAnsi="Arial"/>
                <w:b/>
                <w:bCs/>
                <w:sz w:val="22"/>
                <w:szCs w:val="22"/>
              </w:rPr>
              <w:t xml:space="preserve">Assessment of ‘Stretch’ of Role </w:t>
            </w:r>
          </w:p>
          <w:p w14:paraId="0D0AA44A" w14:textId="77777777" w:rsidR="00E96B51" w:rsidRPr="000602B1" w:rsidRDefault="00E96B51" w:rsidP="00021E4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602B1">
              <w:rPr>
                <w:rFonts w:ascii="Arial" w:hAnsi="Arial"/>
                <w:b/>
                <w:bCs/>
                <w:sz w:val="22"/>
                <w:szCs w:val="22"/>
              </w:rPr>
              <w:t xml:space="preserve">for Talent Management </w:t>
            </w:r>
          </w:p>
          <w:p w14:paraId="6C4D72D0" w14:textId="77777777" w:rsidR="00E96B51" w:rsidRPr="000602B1" w:rsidRDefault="00E96B51" w:rsidP="00021E43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0602B1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(Please tick as applicable)</w:t>
            </w:r>
          </w:p>
          <w:p w14:paraId="723A7DC9" w14:textId="77777777" w:rsidR="00E96B51" w:rsidRPr="000602B1" w:rsidRDefault="00E96B51" w:rsidP="00021E4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F87B55" w14:textId="77777777" w:rsidR="00E96B51" w:rsidRPr="000602B1" w:rsidRDefault="00641C95" w:rsidP="00A15E89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At expected G6</w:t>
            </w:r>
            <w:r w:rsidR="00E96B51" w:rsidRPr="000602B1">
              <w:rPr>
                <w:rFonts w:ascii="Arial" w:hAnsi="Arial"/>
                <w:b/>
                <w:bCs/>
                <w:sz w:val="22"/>
                <w:szCs w:val="22"/>
              </w:rPr>
              <w:t xml:space="preserve"> standard</w:t>
            </w:r>
          </w:p>
        </w:tc>
        <w:tc>
          <w:tcPr>
            <w:tcW w:w="1474" w:type="dxa"/>
            <w:shd w:val="clear" w:color="auto" w:fill="auto"/>
          </w:tcPr>
          <w:p w14:paraId="7FA05AB2" w14:textId="77777777" w:rsidR="00E96B51" w:rsidRPr="000602B1" w:rsidRDefault="00E96B51" w:rsidP="00A15E89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602B1">
              <w:rPr>
                <w:rFonts w:ascii="Arial" w:hAnsi="Arial"/>
                <w:b/>
                <w:bCs/>
                <w:sz w:val="22"/>
                <w:szCs w:val="22"/>
              </w:rPr>
              <w:t>‘Stretching’</w:t>
            </w:r>
          </w:p>
          <w:p w14:paraId="45C4514E" w14:textId="77777777" w:rsidR="00E96B51" w:rsidRPr="000602B1" w:rsidRDefault="00E96B51" w:rsidP="00021E4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6FF3E2" w14:textId="77777777" w:rsidR="00E96B51" w:rsidRPr="000602B1" w:rsidRDefault="00E96B51" w:rsidP="00A15E89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602B1">
              <w:rPr>
                <w:rFonts w:ascii="Arial" w:hAnsi="Arial"/>
                <w:b/>
                <w:bCs/>
                <w:sz w:val="22"/>
                <w:szCs w:val="22"/>
              </w:rPr>
              <w:t xml:space="preserve">‘Very </w:t>
            </w:r>
          </w:p>
          <w:p w14:paraId="3CEBD0B6" w14:textId="77777777" w:rsidR="00E96B51" w:rsidRPr="000602B1" w:rsidRDefault="00E96B51" w:rsidP="00A15E89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602B1">
              <w:rPr>
                <w:rFonts w:ascii="Arial" w:hAnsi="Arial"/>
                <w:b/>
                <w:bCs/>
                <w:sz w:val="22"/>
                <w:szCs w:val="22"/>
              </w:rPr>
              <w:t>Stretching’</w:t>
            </w:r>
          </w:p>
          <w:p w14:paraId="3DB2A504" w14:textId="77777777" w:rsidR="00E96B51" w:rsidRPr="000602B1" w:rsidRDefault="00641C95" w:rsidP="00A15E8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(at or approaching SCS PB1</w:t>
            </w:r>
            <w:r w:rsidR="00E96B51" w:rsidRPr="000602B1">
              <w:rPr>
                <w:rFonts w:ascii="Arial" w:hAnsi="Arial"/>
                <w:sz w:val="22"/>
                <w:szCs w:val="22"/>
              </w:rPr>
              <w:t xml:space="preserve"> level)</w:t>
            </w:r>
          </w:p>
        </w:tc>
      </w:tr>
      <w:tr w:rsidR="00E96B51" w:rsidRPr="000602B1" w14:paraId="767498BA" w14:textId="77777777" w:rsidTr="0050204E">
        <w:tc>
          <w:tcPr>
            <w:tcW w:w="6232" w:type="dxa"/>
            <w:shd w:val="clear" w:color="auto" w:fill="B3FFFF"/>
          </w:tcPr>
          <w:p w14:paraId="5FAB3133" w14:textId="77777777" w:rsidR="00E96B51" w:rsidRPr="00A15E89" w:rsidRDefault="00E96B51" w:rsidP="00021E4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Analytical Depth:</w:t>
            </w:r>
          </w:p>
          <w:p w14:paraId="458B55C8" w14:textId="77777777" w:rsidR="00E96B51" w:rsidRPr="000602B1" w:rsidRDefault="00E96B51" w:rsidP="00021E43">
            <w:pPr>
              <w:rPr>
                <w:rFonts w:ascii="Arial" w:hAnsi="Arial"/>
                <w:sz w:val="22"/>
                <w:szCs w:val="22"/>
              </w:rPr>
            </w:pPr>
            <w:r w:rsidRPr="000602B1">
              <w:rPr>
                <w:rFonts w:ascii="Arial" w:hAnsi="Arial"/>
                <w:sz w:val="22"/>
                <w:szCs w:val="22"/>
              </w:rPr>
              <w:t>The role is in-depth and technically challenging</w:t>
            </w:r>
          </w:p>
        </w:tc>
        <w:tc>
          <w:tcPr>
            <w:tcW w:w="1276" w:type="dxa"/>
          </w:tcPr>
          <w:p w14:paraId="0D66B4D9" w14:textId="77777777" w:rsidR="00E96B51" w:rsidRPr="000602B1" w:rsidRDefault="00E96B51" w:rsidP="00021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38349E7B" w14:textId="6AC2BE24" w:rsidR="00E96B51" w:rsidRPr="005B5AD2" w:rsidRDefault="00E96B51" w:rsidP="00BD230A">
            <w:pPr>
              <w:jc w:val="center"/>
            </w:pPr>
          </w:p>
        </w:tc>
        <w:tc>
          <w:tcPr>
            <w:tcW w:w="1701" w:type="dxa"/>
          </w:tcPr>
          <w:p w14:paraId="55B0B09F" w14:textId="5F2010EB" w:rsidR="00E96B51" w:rsidRPr="005B5AD2" w:rsidRDefault="00BD230A" w:rsidP="00BD230A">
            <w:pPr>
              <w:jc w:val="center"/>
            </w:pPr>
            <w:r>
              <w:t>X</w:t>
            </w:r>
          </w:p>
        </w:tc>
      </w:tr>
      <w:tr w:rsidR="00E96B51" w:rsidRPr="000602B1" w14:paraId="5FEDE9E4" w14:textId="77777777" w:rsidTr="0050204E">
        <w:tc>
          <w:tcPr>
            <w:tcW w:w="6232" w:type="dxa"/>
            <w:shd w:val="clear" w:color="auto" w:fill="B3FFFF"/>
          </w:tcPr>
          <w:p w14:paraId="72141705" w14:textId="77777777" w:rsidR="00E96B51" w:rsidRPr="00A15E89" w:rsidRDefault="00E96B51" w:rsidP="00021E4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Analytical Breadth:</w:t>
            </w:r>
          </w:p>
          <w:p w14:paraId="07C419F9" w14:textId="77777777" w:rsidR="00E96B51" w:rsidRPr="000602B1" w:rsidRDefault="00E96B51" w:rsidP="00021E4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0602B1">
              <w:rPr>
                <w:rFonts w:ascii="Arial" w:hAnsi="Arial"/>
                <w:sz w:val="22"/>
                <w:szCs w:val="22"/>
              </w:rPr>
              <w:t>Intellectual range or a broad programme of analysis across professions</w:t>
            </w:r>
          </w:p>
        </w:tc>
        <w:tc>
          <w:tcPr>
            <w:tcW w:w="1276" w:type="dxa"/>
          </w:tcPr>
          <w:p w14:paraId="09252261" w14:textId="77777777" w:rsidR="00E96B51" w:rsidRPr="000602B1" w:rsidRDefault="00E96B51" w:rsidP="00021E43">
            <w:pPr>
              <w:ind w:left="-53" w:firstLine="53"/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70A48A33" w14:textId="4C054D75" w:rsidR="00E96B51" w:rsidRPr="005B5AD2" w:rsidRDefault="00BD230A" w:rsidP="00BD230A">
            <w:pPr>
              <w:ind w:left="-53" w:firstLine="53"/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7356B1BF" w14:textId="02796E4E" w:rsidR="00E96B51" w:rsidRPr="005B5AD2" w:rsidRDefault="00E96B51" w:rsidP="00BD230A">
            <w:pPr>
              <w:jc w:val="center"/>
            </w:pPr>
          </w:p>
        </w:tc>
      </w:tr>
      <w:tr w:rsidR="00E96B51" w:rsidRPr="000602B1" w14:paraId="12381057" w14:textId="77777777" w:rsidTr="0050204E">
        <w:tc>
          <w:tcPr>
            <w:tcW w:w="6232" w:type="dxa"/>
            <w:shd w:val="clear" w:color="auto" w:fill="B3FFFF"/>
          </w:tcPr>
          <w:p w14:paraId="4532B342" w14:textId="77777777" w:rsidR="00E96B51" w:rsidRPr="00A15E89" w:rsidRDefault="00E96B51" w:rsidP="00021E43">
            <w:pPr>
              <w:rPr>
                <w:rFonts w:ascii="Arial" w:hAnsi="Arial"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Visibility</w:t>
            </w:r>
            <w:r w:rsidRPr="00A15E89">
              <w:rPr>
                <w:rFonts w:ascii="Arial" w:hAnsi="Arial"/>
                <w:sz w:val="22"/>
                <w:szCs w:val="22"/>
              </w:rPr>
              <w:t>:</w:t>
            </w:r>
          </w:p>
          <w:p w14:paraId="4513C63D" w14:textId="77777777" w:rsidR="00E96B51" w:rsidRPr="000602B1" w:rsidRDefault="00E96B51" w:rsidP="00021E43">
            <w:pPr>
              <w:rPr>
                <w:rFonts w:ascii="Arial" w:hAnsi="Arial"/>
                <w:sz w:val="22"/>
                <w:szCs w:val="22"/>
              </w:rPr>
            </w:pPr>
            <w:r w:rsidRPr="000602B1">
              <w:rPr>
                <w:rFonts w:ascii="Arial" w:hAnsi="Arial"/>
                <w:sz w:val="22"/>
                <w:szCs w:val="22"/>
              </w:rPr>
              <w:t>Seniority/importance of customers and frequency of contact with senior customers</w:t>
            </w:r>
          </w:p>
        </w:tc>
        <w:tc>
          <w:tcPr>
            <w:tcW w:w="1276" w:type="dxa"/>
          </w:tcPr>
          <w:p w14:paraId="22A8F524" w14:textId="77777777" w:rsidR="00E96B51" w:rsidRPr="000602B1" w:rsidRDefault="00E96B51" w:rsidP="00021E4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46D13DE5" w14:textId="6C35E5EE" w:rsidR="00E96B51" w:rsidRPr="005B5AD2" w:rsidRDefault="00BD230A" w:rsidP="00BD230A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64404F88" w14:textId="07894FED" w:rsidR="00E96B51" w:rsidRPr="005B5AD2" w:rsidRDefault="00E96B51" w:rsidP="00BD230A">
            <w:pPr>
              <w:jc w:val="center"/>
            </w:pPr>
          </w:p>
        </w:tc>
      </w:tr>
      <w:tr w:rsidR="00E96B51" w:rsidRPr="000602B1" w14:paraId="217902AE" w14:textId="77777777" w:rsidTr="0050204E">
        <w:tc>
          <w:tcPr>
            <w:tcW w:w="6232" w:type="dxa"/>
            <w:shd w:val="clear" w:color="auto" w:fill="B3FFFF"/>
          </w:tcPr>
          <w:p w14:paraId="0BD79DB8" w14:textId="77777777" w:rsidR="00E96B51" w:rsidRPr="00A15E89" w:rsidRDefault="00E96B51" w:rsidP="00021E43">
            <w:pPr>
              <w:rPr>
                <w:rFonts w:ascii="Arial" w:hAnsi="Arial"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Leadership</w:t>
            </w:r>
            <w:r w:rsidRPr="00A15E89">
              <w:rPr>
                <w:rFonts w:ascii="Arial" w:hAnsi="Arial"/>
                <w:sz w:val="22"/>
                <w:szCs w:val="22"/>
              </w:rPr>
              <w:t>:</w:t>
            </w:r>
          </w:p>
          <w:p w14:paraId="69CA5397" w14:textId="77777777" w:rsidR="00E96B51" w:rsidRPr="000602B1" w:rsidRDefault="00E96B51" w:rsidP="00021E43">
            <w:pPr>
              <w:rPr>
                <w:rFonts w:ascii="Arial" w:hAnsi="Arial"/>
                <w:sz w:val="22"/>
                <w:szCs w:val="22"/>
              </w:rPr>
            </w:pPr>
            <w:r w:rsidRPr="000602B1">
              <w:rPr>
                <w:rFonts w:ascii="Arial" w:hAnsi="Arial"/>
                <w:sz w:val="22"/>
                <w:szCs w:val="22"/>
              </w:rPr>
              <w:t>Opportunities to design and lead a programme of work and influence a wide range of senior colleagues to represent the Department</w:t>
            </w:r>
          </w:p>
        </w:tc>
        <w:tc>
          <w:tcPr>
            <w:tcW w:w="1276" w:type="dxa"/>
          </w:tcPr>
          <w:p w14:paraId="11F5A718" w14:textId="77777777" w:rsidR="00E96B51" w:rsidRPr="000602B1" w:rsidRDefault="00E96B51" w:rsidP="00021E4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1817F207" w14:textId="77777777" w:rsidR="00E96B51" w:rsidRPr="005B5AD2" w:rsidRDefault="00E96B51" w:rsidP="00BD230A">
            <w:pPr>
              <w:jc w:val="center"/>
            </w:pPr>
          </w:p>
        </w:tc>
        <w:tc>
          <w:tcPr>
            <w:tcW w:w="1701" w:type="dxa"/>
          </w:tcPr>
          <w:p w14:paraId="69ACB3C2" w14:textId="77777777" w:rsidR="00E96B51" w:rsidRPr="005B5AD2" w:rsidRDefault="0070166B" w:rsidP="00BD230A">
            <w:pPr>
              <w:jc w:val="center"/>
            </w:pPr>
            <w:r>
              <w:t>X</w:t>
            </w:r>
          </w:p>
        </w:tc>
      </w:tr>
      <w:tr w:rsidR="00E96B51" w:rsidRPr="000602B1" w14:paraId="3B077AD2" w14:textId="77777777" w:rsidTr="0050204E">
        <w:tc>
          <w:tcPr>
            <w:tcW w:w="6232" w:type="dxa"/>
            <w:shd w:val="clear" w:color="auto" w:fill="B3FFFF"/>
          </w:tcPr>
          <w:p w14:paraId="3A688196" w14:textId="77777777" w:rsidR="00E96B51" w:rsidRPr="00A15E89" w:rsidRDefault="00E96B51" w:rsidP="00021E43">
            <w:pPr>
              <w:rPr>
                <w:rFonts w:ascii="Arial" w:hAnsi="Arial"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Management</w:t>
            </w:r>
            <w:r w:rsidRPr="00A15E8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5640300E" w14:textId="77777777" w:rsidR="00E96B51" w:rsidRPr="000602B1" w:rsidRDefault="00E96B51" w:rsidP="00021E43">
            <w:pPr>
              <w:rPr>
                <w:rFonts w:ascii="Arial" w:hAnsi="Arial"/>
                <w:sz w:val="22"/>
                <w:szCs w:val="22"/>
              </w:rPr>
            </w:pPr>
            <w:r w:rsidRPr="000602B1">
              <w:rPr>
                <w:rFonts w:ascii="Arial" w:hAnsi="Arial"/>
                <w:sz w:val="22"/>
                <w:szCs w:val="22"/>
              </w:rPr>
              <w:t>Managing a large team (or across multiple locations) or building the capability of an inexperienced team</w:t>
            </w:r>
          </w:p>
        </w:tc>
        <w:tc>
          <w:tcPr>
            <w:tcW w:w="1276" w:type="dxa"/>
          </w:tcPr>
          <w:p w14:paraId="77807DBF" w14:textId="77777777" w:rsidR="00E96B51" w:rsidRPr="000602B1" w:rsidRDefault="00E96B51" w:rsidP="00021E4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17650179" w14:textId="77777777" w:rsidR="00E96B51" w:rsidRPr="005B5AD2" w:rsidRDefault="0070166B" w:rsidP="00BD230A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18F646D1" w14:textId="77777777" w:rsidR="00E96B51" w:rsidRPr="005B5AD2" w:rsidRDefault="00E96B51" w:rsidP="00BD230A">
            <w:pPr>
              <w:jc w:val="center"/>
            </w:pPr>
          </w:p>
        </w:tc>
      </w:tr>
      <w:tr w:rsidR="00E96B51" w:rsidRPr="000602B1" w14:paraId="0D20B67D" w14:textId="77777777" w:rsidTr="0050204E">
        <w:tc>
          <w:tcPr>
            <w:tcW w:w="6232" w:type="dxa"/>
            <w:shd w:val="clear" w:color="auto" w:fill="B3FFFF"/>
          </w:tcPr>
          <w:p w14:paraId="28FF9B4A" w14:textId="77777777" w:rsidR="00E96B51" w:rsidRPr="00A15E89" w:rsidRDefault="00E96B51" w:rsidP="00021E43">
            <w:pPr>
              <w:rPr>
                <w:rFonts w:ascii="Arial" w:hAnsi="Arial"/>
                <w:sz w:val="22"/>
                <w:szCs w:val="22"/>
              </w:rPr>
            </w:pPr>
            <w:r w:rsidRPr="00A15E89">
              <w:rPr>
                <w:rFonts w:ascii="Arial" w:hAnsi="Arial"/>
                <w:b/>
                <w:bCs/>
                <w:sz w:val="22"/>
                <w:szCs w:val="22"/>
              </w:rPr>
              <w:t>Customer Demand</w:t>
            </w:r>
            <w:r w:rsidRPr="00A15E89">
              <w:rPr>
                <w:rFonts w:ascii="Arial" w:hAnsi="Arial"/>
                <w:sz w:val="22"/>
                <w:szCs w:val="22"/>
              </w:rPr>
              <w:t>:</w:t>
            </w:r>
          </w:p>
          <w:p w14:paraId="70F526EB" w14:textId="77777777" w:rsidR="00E96B51" w:rsidRPr="000602B1" w:rsidRDefault="00E96B51" w:rsidP="00021E43">
            <w:pPr>
              <w:rPr>
                <w:rFonts w:ascii="Arial" w:hAnsi="Arial"/>
                <w:sz w:val="22"/>
                <w:szCs w:val="22"/>
              </w:rPr>
            </w:pPr>
            <w:r w:rsidRPr="000602B1">
              <w:rPr>
                <w:rFonts w:ascii="Arial" w:hAnsi="Arial"/>
                <w:sz w:val="22"/>
                <w:szCs w:val="22"/>
              </w:rPr>
              <w:t>Breadth and range of customer demand plus pace/quantity of demand</w:t>
            </w:r>
          </w:p>
        </w:tc>
        <w:tc>
          <w:tcPr>
            <w:tcW w:w="1276" w:type="dxa"/>
          </w:tcPr>
          <w:p w14:paraId="07E2F8B1" w14:textId="77777777" w:rsidR="00E96B51" w:rsidRPr="000602B1" w:rsidRDefault="00E96B51" w:rsidP="00021E4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296B4065" w14:textId="77777777" w:rsidR="00E96B51" w:rsidRPr="005B5AD2" w:rsidRDefault="00E96B51" w:rsidP="00BD230A">
            <w:pPr>
              <w:jc w:val="center"/>
            </w:pPr>
          </w:p>
        </w:tc>
        <w:tc>
          <w:tcPr>
            <w:tcW w:w="1701" w:type="dxa"/>
          </w:tcPr>
          <w:p w14:paraId="12922EF9" w14:textId="77777777" w:rsidR="00E96B51" w:rsidRPr="005B5AD2" w:rsidRDefault="004C2B02" w:rsidP="00BD230A">
            <w:pPr>
              <w:jc w:val="center"/>
            </w:pPr>
            <w:r w:rsidRPr="005B5AD2">
              <w:t>X</w:t>
            </w:r>
          </w:p>
        </w:tc>
      </w:tr>
    </w:tbl>
    <w:p w14:paraId="3B059D72" w14:textId="77777777" w:rsidR="006E0879" w:rsidRPr="00A15E89" w:rsidRDefault="006E0879" w:rsidP="006E0879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600"/>
      </w:tblGrid>
      <w:tr w:rsidR="006E0879" w:rsidRPr="000602B1" w14:paraId="7A87D97A" w14:textId="77777777" w:rsidTr="0050204E">
        <w:tc>
          <w:tcPr>
            <w:tcW w:w="6768" w:type="dxa"/>
            <w:shd w:val="clear" w:color="auto" w:fill="B3FFFF"/>
          </w:tcPr>
          <w:p w14:paraId="6175F58E" w14:textId="77777777" w:rsidR="00792558" w:rsidRPr="000602B1" w:rsidRDefault="00792558" w:rsidP="0050204E">
            <w:pPr>
              <w:shd w:val="clear" w:color="auto" w:fill="B3FFFF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602B1">
              <w:rPr>
                <w:rFonts w:ascii="Arial" w:hAnsi="Arial"/>
                <w:b/>
                <w:bCs/>
                <w:sz w:val="22"/>
                <w:szCs w:val="22"/>
              </w:rPr>
              <w:t>Development opportunities:</w:t>
            </w:r>
          </w:p>
          <w:p w14:paraId="055A2BF2" w14:textId="77777777" w:rsidR="008F5F32" w:rsidRPr="000602B1" w:rsidRDefault="00083ED4" w:rsidP="00083ED4">
            <w:pPr>
              <w:tabs>
                <w:tab w:val="left" w:pos="5184"/>
              </w:tabs>
              <w:rPr>
                <w:rFonts w:ascii="Arial" w:hAnsi="Arial"/>
                <w:sz w:val="22"/>
                <w:szCs w:val="22"/>
              </w:rPr>
            </w:pPr>
            <w:r w:rsidRPr="0050204E">
              <w:rPr>
                <w:rFonts w:ascii="Arial" w:hAnsi="Arial"/>
                <w:sz w:val="22"/>
                <w:szCs w:val="22"/>
                <w:shd w:val="clear" w:color="auto" w:fill="B3FFFF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14:paraId="6FD51853" w14:textId="30881245" w:rsidR="00B010AF" w:rsidRDefault="00BF52F3" w:rsidP="00BF52F3">
            <w:pPr>
              <w:rPr>
                <w:rFonts w:ascii="Arial" w:hAnsi="Arial"/>
                <w:sz w:val="22"/>
                <w:szCs w:val="22"/>
              </w:rPr>
            </w:pPr>
            <w:r w:rsidRPr="004C274A">
              <w:rPr>
                <w:rFonts w:ascii="Arial" w:hAnsi="Arial"/>
                <w:sz w:val="22"/>
                <w:szCs w:val="22"/>
              </w:rPr>
              <w:t xml:space="preserve">This role </w:t>
            </w:r>
            <w:r w:rsidR="00BD230A">
              <w:rPr>
                <w:rFonts w:ascii="Arial" w:hAnsi="Arial"/>
                <w:sz w:val="22"/>
                <w:szCs w:val="22"/>
              </w:rPr>
              <w:t xml:space="preserve">provides an opportunity </w:t>
            </w:r>
            <w:r w:rsidR="00B010AF">
              <w:rPr>
                <w:rFonts w:ascii="Arial" w:hAnsi="Arial"/>
                <w:sz w:val="22"/>
                <w:szCs w:val="22"/>
              </w:rPr>
              <w:t>to make a major contribution to the new Money and Pensions organisation</w:t>
            </w:r>
            <w:r w:rsidR="00C1555D">
              <w:rPr>
                <w:rFonts w:ascii="Arial" w:hAnsi="Arial"/>
                <w:sz w:val="22"/>
                <w:szCs w:val="22"/>
              </w:rPr>
              <w:t xml:space="preserve">; to be involved from the beginning and make a significant contribution to how </w:t>
            </w:r>
            <w:proofErr w:type="spellStart"/>
            <w:r w:rsidR="00C1555D">
              <w:rPr>
                <w:rFonts w:ascii="Arial" w:hAnsi="Arial"/>
                <w:sz w:val="22"/>
                <w:szCs w:val="22"/>
              </w:rPr>
              <w:t>MaPS</w:t>
            </w:r>
            <w:proofErr w:type="spellEnd"/>
            <w:r w:rsidR="00C1555D">
              <w:rPr>
                <w:rFonts w:ascii="Arial" w:hAnsi="Arial"/>
                <w:sz w:val="22"/>
                <w:szCs w:val="22"/>
              </w:rPr>
              <w:t xml:space="preserve"> measures </w:t>
            </w:r>
            <w:r w:rsidR="007766F1">
              <w:rPr>
                <w:rFonts w:ascii="Arial" w:hAnsi="Arial"/>
                <w:sz w:val="22"/>
                <w:szCs w:val="22"/>
              </w:rPr>
              <w:t xml:space="preserve">over-indebtedness and the need for debt advice – reporting to the </w:t>
            </w:r>
            <w:proofErr w:type="spellStart"/>
            <w:r w:rsidR="007766F1">
              <w:rPr>
                <w:rFonts w:ascii="Arial" w:hAnsi="Arial"/>
                <w:sz w:val="22"/>
                <w:szCs w:val="22"/>
              </w:rPr>
              <w:t>MaPS</w:t>
            </w:r>
            <w:proofErr w:type="spellEnd"/>
            <w:r w:rsidR="007766F1">
              <w:rPr>
                <w:rFonts w:ascii="Arial" w:hAnsi="Arial"/>
                <w:sz w:val="22"/>
                <w:szCs w:val="22"/>
              </w:rPr>
              <w:t xml:space="preserve"> Board; </w:t>
            </w:r>
            <w:r w:rsidR="001267DB">
              <w:rPr>
                <w:rFonts w:ascii="Arial" w:hAnsi="Arial"/>
                <w:sz w:val="22"/>
                <w:szCs w:val="22"/>
              </w:rPr>
              <w:t xml:space="preserve">to work across debt advice, money guidance, pensions </w:t>
            </w:r>
            <w:r w:rsidR="00DC0E14">
              <w:rPr>
                <w:rFonts w:ascii="Arial" w:hAnsi="Arial"/>
                <w:sz w:val="22"/>
                <w:szCs w:val="22"/>
              </w:rPr>
              <w:t xml:space="preserve">freedoms and </w:t>
            </w:r>
            <w:r w:rsidR="001267DB">
              <w:rPr>
                <w:rFonts w:ascii="Arial" w:hAnsi="Arial"/>
                <w:sz w:val="22"/>
                <w:szCs w:val="22"/>
              </w:rPr>
              <w:t xml:space="preserve">guidance </w:t>
            </w:r>
            <w:r w:rsidR="00EA3972">
              <w:rPr>
                <w:rFonts w:ascii="Arial" w:hAnsi="Arial"/>
                <w:sz w:val="22"/>
                <w:szCs w:val="22"/>
              </w:rPr>
              <w:t>and financial education for children</w:t>
            </w:r>
            <w:r w:rsidR="00DC0E14">
              <w:rPr>
                <w:rFonts w:ascii="Arial" w:hAnsi="Arial"/>
                <w:sz w:val="22"/>
                <w:szCs w:val="22"/>
              </w:rPr>
              <w:t xml:space="preserve"> and young people</w:t>
            </w:r>
            <w:r w:rsidR="00EA3972">
              <w:rPr>
                <w:rFonts w:ascii="Arial" w:hAnsi="Arial"/>
                <w:sz w:val="22"/>
                <w:szCs w:val="22"/>
              </w:rPr>
              <w:t>;</w:t>
            </w:r>
            <w:r w:rsidR="001267DB">
              <w:rPr>
                <w:rFonts w:ascii="Arial" w:hAnsi="Arial"/>
                <w:sz w:val="22"/>
                <w:szCs w:val="22"/>
              </w:rPr>
              <w:t xml:space="preserve"> </w:t>
            </w:r>
            <w:r w:rsidR="007766F1">
              <w:rPr>
                <w:rFonts w:ascii="Arial" w:hAnsi="Arial"/>
                <w:sz w:val="22"/>
                <w:szCs w:val="22"/>
              </w:rPr>
              <w:t>to develop a small team of research data analysts</w:t>
            </w:r>
            <w:r w:rsidR="00715B8C">
              <w:rPr>
                <w:rFonts w:ascii="Arial" w:hAnsi="Arial"/>
                <w:sz w:val="22"/>
                <w:szCs w:val="22"/>
              </w:rPr>
              <w:t xml:space="preserve"> and to see how an </w:t>
            </w:r>
            <w:proofErr w:type="spellStart"/>
            <w:r w:rsidR="00715B8C">
              <w:rPr>
                <w:rFonts w:ascii="Arial" w:hAnsi="Arial"/>
                <w:sz w:val="22"/>
                <w:szCs w:val="22"/>
              </w:rPr>
              <w:t>Arms Length</w:t>
            </w:r>
            <w:proofErr w:type="spellEnd"/>
            <w:r w:rsidR="00715B8C">
              <w:rPr>
                <w:rFonts w:ascii="Arial" w:hAnsi="Arial"/>
                <w:sz w:val="22"/>
                <w:szCs w:val="22"/>
              </w:rPr>
              <w:t xml:space="preserve"> Body works.</w:t>
            </w:r>
          </w:p>
          <w:p w14:paraId="1A459593" w14:textId="77777777" w:rsidR="006E0879" w:rsidRPr="004C274A" w:rsidRDefault="006E0879" w:rsidP="00EA397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AF1C8C" w14:textId="77777777" w:rsidR="006E0879" w:rsidRPr="00A15E89" w:rsidRDefault="006E0879" w:rsidP="006E0879">
      <w:pPr>
        <w:rPr>
          <w:rFonts w:ascii="Arial" w:hAnsi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600"/>
      </w:tblGrid>
      <w:tr w:rsidR="00094686" w:rsidRPr="000602B1" w14:paraId="205A0F2C" w14:textId="77777777" w:rsidTr="0050204E">
        <w:tc>
          <w:tcPr>
            <w:tcW w:w="6768" w:type="dxa"/>
            <w:shd w:val="clear" w:color="auto" w:fill="B3FFFF"/>
          </w:tcPr>
          <w:p w14:paraId="00E71130" w14:textId="77777777" w:rsidR="00094686" w:rsidRPr="000602B1" w:rsidRDefault="00094686" w:rsidP="0050204E">
            <w:pPr>
              <w:shd w:val="clear" w:color="auto" w:fill="B3FFFF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602B1">
              <w:rPr>
                <w:rFonts w:ascii="Arial" w:hAnsi="Arial"/>
                <w:b/>
                <w:bCs/>
                <w:sz w:val="22"/>
                <w:szCs w:val="22"/>
              </w:rPr>
              <w:t>Any other information:</w:t>
            </w:r>
          </w:p>
          <w:p w14:paraId="3B8B0840" w14:textId="77777777" w:rsidR="00094686" w:rsidRPr="0050204E" w:rsidRDefault="00094686" w:rsidP="0050204E">
            <w:pPr>
              <w:shd w:val="clear" w:color="auto" w:fill="B3FFFF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FC8405D" w14:textId="541C2863" w:rsidR="00094686" w:rsidRPr="000226B0" w:rsidRDefault="000226B0" w:rsidP="00CB3676">
            <w:pPr>
              <w:rPr>
                <w:rFonts w:ascii="Arial" w:hAnsi="Arial" w:cs="Arial"/>
                <w:sz w:val="22"/>
                <w:szCs w:val="22"/>
              </w:rPr>
            </w:pPr>
            <w:r w:rsidRPr="000226B0">
              <w:rPr>
                <w:rFonts w:ascii="Arial" w:hAnsi="Arial" w:cs="Arial"/>
                <w:sz w:val="22"/>
                <w:szCs w:val="22"/>
              </w:rPr>
              <w:t>This role would be a secondment for one or two years</w:t>
            </w:r>
          </w:p>
        </w:tc>
      </w:tr>
    </w:tbl>
    <w:p w14:paraId="3A04C73A" w14:textId="77777777" w:rsidR="006E0879" w:rsidRPr="00A15E89" w:rsidRDefault="006E0879" w:rsidP="006E0879">
      <w:pPr>
        <w:rPr>
          <w:rFonts w:ascii="Arial" w:hAnsi="Arial"/>
          <w:sz w:val="22"/>
          <w:szCs w:val="22"/>
        </w:rPr>
      </w:pPr>
    </w:p>
    <w:p w14:paraId="645BD768" w14:textId="77777777" w:rsidR="006E0879" w:rsidRPr="000602B1" w:rsidRDefault="006E0879" w:rsidP="006E0879">
      <w:pPr>
        <w:rPr>
          <w:rFonts w:ascii="Arial" w:hAnsi="Arial"/>
          <w:sz w:val="22"/>
          <w:szCs w:val="22"/>
        </w:rPr>
      </w:pPr>
    </w:p>
    <w:p w14:paraId="32639ABB" w14:textId="77777777" w:rsidR="006E0879" w:rsidRPr="000602B1" w:rsidRDefault="006E0879" w:rsidP="006E0879">
      <w:pPr>
        <w:rPr>
          <w:sz w:val="22"/>
          <w:szCs w:val="22"/>
        </w:rPr>
      </w:pPr>
    </w:p>
    <w:p w14:paraId="3233CBA1" w14:textId="77777777" w:rsidR="006E0879" w:rsidRPr="000602B1" w:rsidRDefault="006E0879" w:rsidP="006E0879">
      <w:pPr>
        <w:rPr>
          <w:sz w:val="22"/>
          <w:szCs w:val="22"/>
        </w:rPr>
      </w:pPr>
    </w:p>
    <w:sectPr w:rsidR="006E0879" w:rsidRPr="000602B1" w:rsidSect="00DC2492">
      <w:foot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070EE" w14:textId="77777777" w:rsidR="00DA3B77" w:rsidRDefault="00DA3B77">
      <w:r>
        <w:separator/>
      </w:r>
    </w:p>
  </w:endnote>
  <w:endnote w:type="continuationSeparator" w:id="0">
    <w:p w14:paraId="0951B6E9" w14:textId="77777777" w:rsidR="00DA3B77" w:rsidRDefault="00D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9971" w14:textId="77777777" w:rsidR="00094686" w:rsidRDefault="00094686" w:rsidP="0042538A">
    <w:pPr>
      <w:pStyle w:val="Footer"/>
      <w:jc w:val="center"/>
      <w:rPr>
        <w:rFonts w:ascii="Arial" w:hAnsi="Arial"/>
        <w:sz w:val="18"/>
        <w:szCs w:val="18"/>
      </w:rPr>
    </w:pPr>
  </w:p>
  <w:p w14:paraId="0A6B7E6A" w14:textId="77777777" w:rsidR="00094686" w:rsidRPr="0042538A" w:rsidRDefault="00094686" w:rsidP="0042538A">
    <w:pPr>
      <w:pStyle w:val="Footer"/>
      <w:jc w:val="center"/>
      <w:rPr>
        <w:rFonts w:ascii="Arial" w:hAnsi="Arial"/>
        <w:sz w:val="18"/>
        <w:szCs w:val="18"/>
      </w:rPr>
    </w:pPr>
    <w:r w:rsidRPr="0042538A">
      <w:rPr>
        <w:rFonts w:ascii="Arial" w:hAnsi="Arial"/>
        <w:sz w:val="18"/>
        <w:szCs w:val="18"/>
      </w:rPr>
      <w:t xml:space="preserve">Page </w:t>
    </w:r>
    <w:r w:rsidRPr="0042538A">
      <w:rPr>
        <w:rFonts w:ascii="Arial" w:hAnsi="Arial"/>
        <w:sz w:val="18"/>
        <w:szCs w:val="18"/>
      </w:rPr>
      <w:fldChar w:fldCharType="begin"/>
    </w:r>
    <w:r w:rsidRPr="0042538A">
      <w:rPr>
        <w:rFonts w:ascii="Arial" w:hAnsi="Arial"/>
        <w:sz w:val="18"/>
        <w:szCs w:val="18"/>
      </w:rPr>
      <w:instrText xml:space="preserve"> PAGE </w:instrText>
    </w:r>
    <w:r w:rsidRPr="0042538A">
      <w:rPr>
        <w:rFonts w:ascii="Arial" w:hAnsi="Arial"/>
        <w:sz w:val="18"/>
        <w:szCs w:val="18"/>
      </w:rPr>
      <w:fldChar w:fldCharType="separate"/>
    </w:r>
    <w:r w:rsidR="00FC3F48">
      <w:rPr>
        <w:rFonts w:ascii="Arial" w:hAnsi="Arial"/>
        <w:noProof/>
        <w:sz w:val="18"/>
        <w:szCs w:val="18"/>
      </w:rPr>
      <w:t>2</w:t>
    </w:r>
    <w:r w:rsidRPr="0042538A">
      <w:rPr>
        <w:rFonts w:ascii="Arial" w:hAnsi="Arial"/>
        <w:sz w:val="18"/>
        <w:szCs w:val="18"/>
      </w:rPr>
      <w:fldChar w:fldCharType="end"/>
    </w:r>
    <w:r w:rsidRPr="0042538A">
      <w:rPr>
        <w:rFonts w:ascii="Arial" w:hAnsi="Arial"/>
        <w:sz w:val="18"/>
        <w:szCs w:val="18"/>
      </w:rPr>
      <w:t xml:space="preserve"> of </w:t>
    </w:r>
    <w:r w:rsidRPr="0042538A">
      <w:rPr>
        <w:rFonts w:ascii="Arial" w:hAnsi="Arial"/>
        <w:sz w:val="18"/>
        <w:szCs w:val="18"/>
      </w:rPr>
      <w:fldChar w:fldCharType="begin"/>
    </w:r>
    <w:r w:rsidRPr="0042538A">
      <w:rPr>
        <w:rFonts w:ascii="Arial" w:hAnsi="Arial"/>
        <w:sz w:val="18"/>
        <w:szCs w:val="18"/>
      </w:rPr>
      <w:instrText xml:space="preserve"> NUMPAGES </w:instrText>
    </w:r>
    <w:r w:rsidRPr="0042538A">
      <w:rPr>
        <w:rFonts w:ascii="Arial" w:hAnsi="Arial"/>
        <w:sz w:val="18"/>
        <w:szCs w:val="18"/>
      </w:rPr>
      <w:fldChar w:fldCharType="separate"/>
    </w:r>
    <w:r w:rsidR="00FC3F48">
      <w:rPr>
        <w:rFonts w:ascii="Arial" w:hAnsi="Arial"/>
        <w:noProof/>
        <w:sz w:val="18"/>
        <w:szCs w:val="18"/>
      </w:rPr>
      <w:t>5</w:t>
    </w:r>
    <w:r w:rsidRPr="0042538A"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A827" w14:textId="77777777" w:rsidR="00DA3B77" w:rsidRDefault="00DA3B77">
      <w:r>
        <w:separator/>
      </w:r>
    </w:p>
  </w:footnote>
  <w:footnote w:type="continuationSeparator" w:id="0">
    <w:p w14:paraId="794987D2" w14:textId="77777777" w:rsidR="00DA3B77" w:rsidRDefault="00DA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3F5"/>
    <w:multiLevelType w:val="hybridMultilevel"/>
    <w:tmpl w:val="1336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B29"/>
    <w:multiLevelType w:val="hybridMultilevel"/>
    <w:tmpl w:val="C8AAAF8C"/>
    <w:lvl w:ilvl="0" w:tplc="2242C440">
      <w:start w:val="1"/>
      <w:numFmt w:val="bullet"/>
      <w:pStyle w:val="table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0F5"/>
    <w:multiLevelType w:val="hybridMultilevel"/>
    <w:tmpl w:val="43CA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06C"/>
    <w:multiLevelType w:val="hybridMultilevel"/>
    <w:tmpl w:val="74BA6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7815"/>
    <w:multiLevelType w:val="hybridMultilevel"/>
    <w:tmpl w:val="3BEC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7CD7"/>
    <w:multiLevelType w:val="hybridMultilevel"/>
    <w:tmpl w:val="38A69C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D367FE"/>
    <w:multiLevelType w:val="hybridMultilevel"/>
    <w:tmpl w:val="83BE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7230A"/>
    <w:multiLevelType w:val="hybridMultilevel"/>
    <w:tmpl w:val="DF08C424"/>
    <w:lvl w:ilvl="0" w:tplc="F910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60D26"/>
    <w:multiLevelType w:val="multilevel"/>
    <w:tmpl w:val="F814C264"/>
    <w:lvl w:ilvl="0">
      <w:start w:val="1"/>
      <w:numFmt w:val="decimal"/>
      <w:lvlRestart w:val="0"/>
      <w:lvlText w:val="%1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/>
        <w:i w:val="0"/>
        <w:sz w:val="26"/>
      </w:rPr>
    </w:lvl>
    <w:lvl w:ilvl="3">
      <w:start w:val="1"/>
      <w:numFmt w:val="decimal"/>
      <w:pStyle w:val="StyleHeading4Left01"/>
      <w:lvlText w:val="%1.%2.%3.%4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decimal"/>
      <w:pStyle w:val="numsub1"/>
      <w:lvlText w:val="%5"/>
      <w:lvlJc w:val="left"/>
      <w:pPr>
        <w:tabs>
          <w:tab w:val="num" w:pos="1134"/>
        </w:tabs>
        <w:ind w:left="1134" w:hanging="425"/>
      </w:pPr>
      <w:rPr>
        <w:rFonts w:ascii="Arial Narrow" w:hAnsi="Arial Narrow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90"/>
    <w:rsid w:val="000044E0"/>
    <w:rsid w:val="00012ECF"/>
    <w:rsid w:val="00021E43"/>
    <w:rsid w:val="000226B0"/>
    <w:rsid w:val="0002330B"/>
    <w:rsid w:val="00025775"/>
    <w:rsid w:val="00052661"/>
    <w:rsid w:val="00054E11"/>
    <w:rsid w:val="000602B1"/>
    <w:rsid w:val="000764C0"/>
    <w:rsid w:val="00076FC6"/>
    <w:rsid w:val="00077255"/>
    <w:rsid w:val="00083ED4"/>
    <w:rsid w:val="000876D3"/>
    <w:rsid w:val="000928D4"/>
    <w:rsid w:val="00094686"/>
    <w:rsid w:val="00097D28"/>
    <w:rsid w:val="000C2FA9"/>
    <w:rsid w:val="000D0D70"/>
    <w:rsid w:val="000D1882"/>
    <w:rsid w:val="000D73B2"/>
    <w:rsid w:val="000E4F67"/>
    <w:rsid w:val="000F53B4"/>
    <w:rsid w:val="00105AF8"/>
    <w:rsid w:val="0011592A"/>
    <w:rsid w:val="00117A92"/>
    <w:rsid w:val="001217C8"/>
    <w:rsid w:val="00126397"/>
    <w:rsid w:val="001267DB"/>
    <w:rsid w:val="001268F0"/>
    <w:rsid w:val="00132D4B"/>
    <w:rsid w:val="001361AE"/>
    <w:rsid w:val="00136D4F"/>
    <w:rsid w:val="0015459B"/>
    <w:rsid w:val="00154FD0"/>
    <w:rsid w:val="001577D1"/>
    <w:rsid w:val="001724F2"/>
    <w:rsid w:val="00173CC6"/>
    <w:rsid w:val="001751FD"/>
    <w:rsid w:val="00186205"/>
    <w:rsid w:val="00192853"/>
    <w:rsid w:val="00195DB9"/>
    <w:rsid w:val="001A0933"/>
    <w:rsid w:val="001B03BC"/>
    <w:rsid w:val="001B0526"/>
    <w:rsid w:val="001B2E4D"/>
    <w:rsid w:val="001B4BAD"/>
    <w:rsid w:val="001C7BCC"/>
    <w:rsid w:val="001D61AA"/>
    <w:rsid w:val="001D6C76"/>
    <w:rsid w:val="001E4740"/>
    <w:rsid w:val="001E761E"/>
    <w:rsid w:val="001F781E"/>
    <w:rsid w:val="00207B09"/>
    <w:rsid w:val="00221A28"/>
    <w:rsid w:val="00221F03"/>
    <w:rsid w:val="00234420"/>
    <w:rsid w:val="002451EA"/>
    <w:rsid w:val="00246938"/>
    <w:rsid w:val="002470AE"/>
    <w:rsid w:val="002475F2"/>
    <w:rsid w:val="00263800"/>
    <w:rsid w:val="0027007C"/>
    <w:rsid w:val="0028251E"/>
    <w:rsid w:val="00291F8F"/>
    <w:rsid w:val="002934C8"/>
    <w:rsid w:val="002969A6"/>
    <w:rsid w:val="002B213F"/>
    <w:rsid w:val="002B3233"/>
    <w:rsid w:val="002D72CE"/>
    <w:rsid w:val="002E48A9"/>
    <w:rsid w:val="002F38C0"/>
    <w:rsid w:val="003050E5"/>
    <w:rsid w:val="00312534"/>
    <w:rsid w:val="00322D93"/>
    <w:rsid w:val="00325643"/>
    <w:rsid w:val="003270C4"/>
    <w:rsid w:val="00330AE6"/>
    <w:rsid w:val="00334FD8"/>
    <w:rsid w:val="00335E22"/>
    <w:rsid w:val="00352E73"/>
    <w:rsid w:val="003553D7"/>
    <w:rsid w:val="003648FC"/>
    <w:rsid w:val="00365C11"/>
    <w:rsid w:val="00372CD3"/>
    <w:rsid w:val="00377966"/>
    <w:rsid w:val="0038241D"/>
    <w:rsid w:val="00383AA6"/>
    <w:rsid w:val="00383C1A"/>
    <w:rsid w:val="003929CD"/>
    <w:rsid w:val="003A0274"/>
    <w:rsid w:val="003B3983"/>
    <w:rsid w:val="003B4421"/>
    <w:rsid w:val="003B47EB"/>
    <w:rsid w:val="003B66D6"/>
    <w:rsid w:val="003D20EF"/>
    <w:rsid w:val="003D2D7E"/>
    <w:rsid w:val="003D3116"/>
    <w:rsid w:val="003D7351"/>
    <w:rsid w:val="003E72A4"/>
    <w:rsid w:val="003F1156"/>
    <w:rsid w:val="003F64CA"/>
    <w:rsid w:val="004120F8"/>
    <w:rsid w:val="00417090"/>
    <w:rsid w:val="0042538A"/>
    <w:rsid w:val="0043349D"/>
    <w:rsid w:val="00453479"/>
    <w:rsid w:val="004642FF"/>
    <w:rsid w:val="00465D8B"/>
    <w:rsid w:val="00466F5E"/>
    <w:rsid w:val="00471375"/>
    <w:rsid w:val="0047239B"/>
    <w:rsid w:val="00472620"/>
    <w:rsid w:val="0047307F"/>
    <w:rsid w:val="00476294"/>
    <w:rsid w:val="00480832"/>
    <w:rsid w:val="00497962"/>
    <w:rsid w:val="004A2129"/>
    <w:rsid w:val="004C01C4"/>
    <w:rsid w:val="004C274A"/>
    <w:rsid w:val="004C2B02"/>
    <w:rsid w:val="004C7516"/>
    <w:rsid w:val="004C78A3"/>
    <w:rsid w:val="004F22C8"/>
    <w:rsid w:val="004F7B24"/>
    <w:rsid w:val="0050204E"/>
    <w:rsid w:val="00502187"/>
    <w:rsid w:val="005058D2"/>
    <w:rsid w:val="00515876"/>
    <w:rsid w:val="005169B3"/>
    <w:rsid w:val="00517485"/>
    <w:rsid w:val="00524191"/>
    <w:rsid w:val="0053025C"/>
    <w:rsid w:val="00531DCA"/>
    <w:rsid w:val="00532D2B"/>
    <w:rsid w:val="00532FF8"/>
    <w:rsid w:val="0054040E"/>
    <w:rsid w:val="00551A25"/>
    <w:rsid w:val="00560849"/>
    <w:rsid w:val="00562C2F"/>
    <w:rsid w:val="005735AF"/>
    <w:rsid w:val="00580906"/>
    <w:rsid w:val="005978FC"/>
    <w:rsid w:val="005A1A4F"/>
    <w:rsid w:val="005A32A7"/>
    <w:rsid w:val="005B1811"/>
    <w:rsid w:val="005B5AD2"/>
    <w:rsid w:val="005D1DF0"/>
    <w:rsid w:val="005D5CE2"/>
    <w:rsid w:val="005D651B"/>
    <w:rsid w:val="005E0E72"/>
    <w:rsid w:val="005E6A26"/>
    <w:rsid w:val="005E6C27"/>
    <w:rsid w:val="005F3A23"/>
    <w:rsid w:val="005F4269"/>
    <w:rsid w:val="005F75C8"/>
    <w:rsid w:val="005F79DE"/>
    <w:rsid w:val="00600638"/>
    <w:rsid w:val="00606A7F"/>
    <w:rsid w:val="00606B99"/>
    <w:rsid w:val="00624B6B"/>
    <w:rsid w:val="006259EC"/>
    <w:rsid w:val="00636772"/>
    <w:rsid w:val="0063680B"/>
    <w:rsid w:val="00636D79"/>
    <w:rsid w:val="00641C95"/>
    <w:rsid w:val="006432F2"/>
    <w:rsid w:val="00657B59"/>
    <w:rsid w:val="00662262"/>
    <w:rsid w:val="0067035A"/>
    <w:rsid w:val="0067350C"/>
    <w:rsid w:val="0067699F"/>
    <w:rsid w:val="00685C8A"/>
    <w:rsid w:val="00694A04"/>
    <w:rsid w:val="006967B8"/>
    <w:rsid w:val="006A559D"/>
    <w:rsid w:val="006B5B9C"/>
    <w:rsid w:val="006C086C"/>
    <w:rsid w:val="006E0879"/>
    <w:rsid w:val="006E779A"/>
    <w:rsid w:val="006F4DDB"/>
    <w:rsid w:val="006F600B"/>
    <w:rsid w:val="0070166B"/>
    <w:rsid w:val="00706D1C"/>
    <w:rsid w:val="00707C03"/>
    <w:rsid w:val="00715B8C"/>
    <w:rsid w:val="0071769E"/>
    <w:rsid w:val="00721BEC"/>
    <w:rsid w:val="0073047F"/>
    <w:rsid w:val="00733BAE"/>
    <w:rsid w:val="00736216"/>
    <w:rsid w:val="00745F61"/>
    <w:rsid w:val="00750A27"/>
    <w:rsid w:val="00760455"/>
    <w:rsid w:val="00767551"/>
    <w:rsid w:val="007766F1"/>
    <w:rsid w:val="00777324"/>
    <w:rsid w:val="00790657"/>
    <w:rsid w:val="007919E2"/>
    <w:rsid w:val="00792558"/>
    <w:rsid w:val="007A65FF"/>
    <w:rsid w:val="007B1630"/>
    <w:rsid w:val="007C0587"/>
    <w:rsid w:val="007C5471"/>
    <w:rsid w:val="007D0E04"/>
    <w:rsid w:val="007D460E"/>
    <w:rsid w:val="007D52B6"/>
    <w:rsid w:val="007F03F2"/>
    <w:rsid w:val="007F6DDA"/>
    <w:rsid w:val="00804E93"/>
    <w:rsid w:val="00806686"/>
    <w:rsid w:val="00822128"/>
    <w:rsid w:val="00823EDF"/>
    <w:rsid w:val="00836E2D"/>
    <w:rsid w:val="00843041"/>
    <w:rsid w:val="008537A9"/>
    <w:rsid w:val="00860BA9"/>
    <w:rsid w:val="008612F7"/>
    <w:rsid w:val="0087335B"/>
    <w:rsid w:val="00873791"/>
    <w:rsid w:val="008801B4"/>
    <w:rsid w:val="008815CE"/>
    <w:rsid w:val="00882480"/>
    <w:rsid w:val="00884EDA"/>
    <w:rsid w:val="00886672"/>
    <w:rsid w:val="00893438"/>
    <w:rsid w:val="008948C4"/>
    <w:rsid w:val="008A21B5"/>
    <w:rsid w:val="008A41ED"/>
    <w:rsid w:val="008B5E90"/>
    <w:rsid w:val="008C6A6C"/>
    <w:rsid w:val="008D23BD"/>
    <w:rsid w:val="008D3AA4"/>
    <w:rsid w:val="008E06C1"/>
    <w:rsid w:val="008E1487"/>
    <w:rsid w:val="008E6921"/>
    <w:rsid w:val="008E7509"/>
    <w:rsid w:val="008F4425"/>
    <w:rsid w:val="008F5F32"/>
    <w:rsid w:val="00900DA0"/>
    <w:rsid w:val="00901BDB"/>
    <w:rsid w:val="00915821"/>
    <w:rsid w:val="00916297"/>
    <w:rsid w:val="00932A08"/>
    <w:rsid w:val="009432A2"/>
    <w:rsid w:val="009449D9"/>
    <w:rsid w:val="009609F2"/>
    <w:rsid w:val="00966E36"/>
    <w:rsid w:val="0097027A"/>
    <w:rsid w:val="00990F17"/>
    <w:rsid w:val="00992E6C"/>
    <w:rsid w:val="00996548"/>
    <w:rsid w:val="009A09B0"/>
    <w:rsid w:val="009B5A10"/>
    <w:rsid w:val="009B6EB9"/>
    <w:rsid w:val="009D1A77"/>
    <w:rsid w:val="009D33E1"/>
    <w:rsid w:val="009E4FAA"/>
    <w:rsid w:val="009F15A6"/>
    <w:rsid w:val="009F1644"/>
    <w:rsid w:val="00A12951"/>
    <w:rsid w:val="00A15334"/>
    <w:rsid w:val="00A15E89"/>
    <w:rsid w:val="00A165C7"/>
    <w:rsid w:val="00A1799C"/>
    <w:rsid w:val="00A279D6"/>
    <w:rsid w:val="00A529D1"/>
    <w:rsid w:val="00A5370C"/>
    <w:rsid w:val="00A564CA"/>
    <w:rsid w:val="00A6607B"/>
    <w:rsid w:val="00A74DC8"/>
    <w:rsid w:val="00A772D4"/>
    <w:rsid w:val="00A8158E"/>
    <w:rsid w:val="00A81FB6"/>
    <w:rsid w:val="00A82A82"/>
    <w:rsid w:val="00A91081"/>
    <w:rsid w:val="00A953C4"/>
    <w:rsid w:val="00AA25F4"/>
    <w:rsid w:val="00AA45E7"/>
    <w:rsid w:val="00AB421D"/>
    <w:rsid w:val="00AB5448"/>
    <w:rsid w:val="00AC679E"/>
    <w:rsid w:val="00AE3C3A"/>
    <w:rsid w:val="00B0105A"/>
    <w:rsid w:val="00B010AF"/>
    <w:rsid w:val="00B11984"/>
    <w:rsid w:val="00B15619"/>
    <w:rsid w:val="00B55991"/>
    <w:rsid w:val="00B62ABC"/>
    <w:rsid w:val="00B706D8"/>
    <w:rsid w:val="00B7238D"/>
    <w:rsid w:val="00B90C90"/>
    <w:rsid w:val="00B93F17"/>
    <w:rsid w:val="00B97117"/>
    <w:rsid w:val="00B97135"/>
    <w:rsid w:val="00BA27F1"/>
    <w:rsid w:val="00BB4F3F"/>
    <w:rsid w:val="00BB5847"/>
    <w:rsid w:val="00BC5F53"/>
    <w:rsid w:val="00BD0B41"/>
    <w:rsid w:val="00BD230A"/>
    <w:rsid w:val="00BD4859"/>
    <w:rsid w:val="00BE0517"/>
    <w:rsid w:val="00BF4B3E"/>
    <w:rsid w:val="00BF52F3"/>
    <w:rsid w:val="00BF76AB"/>
    <w:rsid w:val="00C1212E"/>
    <w:rsid w:val="00C1555D"/>
    <w:rsid w:val="00C158FC"/>
    <w:rsid w:val="00C2088F"/>
    <w:rsid w:val="00C24E47"/>
    <w:rsid w:val="00C25ADD"/>
    <w:rsid w:val="00C419CF"/>
    <w:rsid w:val="00C45265"/>
    <w:rsid w:val="00C50763"/>
    <w:rsid w:val="00C56625"/>
    <w:rsid w:val="00C617B1"/>
    <w:rsid w:val="00C61E29"/>
    <w:rsid w:val="00C62507"/>
    <w:rsid w:val="00C632C5"/>
    <w:rsid w:val="00C65568"/>
    <w:rsid w:val="00C678ED"/>
    <w:rsid w:val="00C67CE8"/>
    <w:rsid w:val="00C73EA9"/>
    <w:rsid w:val="00C77D8C"/>
    <w:rsid w:val="00C809A7"/>
    <w:rsid w:val="00C83CF7"/>
    <w:rsid w:val="00C90F62"/>
    <w:rsid w:val="00CA27AD"/>
    <w:rsid w:val="00CA3C13"/>
    <w:rsid w:val="00CA43C2"/>
    <w:rsid w:val="00CA4614"/>
    <w:rsid w:val="00CA4BAC"/>
    <w:rsid w:val="00CB0468"/>
    <w:rsid w:val="00CB3676"/>
    <w:rsid w:val="00CC17AC"/>
    <w:rsid w:val="00CC416B"/>
    <w:rsid w:val="00CD7A87"/>
    <w:rsid w:val="00CF377E"/>
    <w:rsid w:val="00CF3E89"/>
    <w:rsid w:val="00D02AC1"/>
    <w:rsid w:val="00D04E3B"/>
    <w:rsid w:val="00D05E36"/>
    <w:rsid w:val="00D06B8F"/>
    <w:rsid w:val="00D06C27"/>
    <w:rsid w:val="00D07A25"/>
    <w:rsid w:val="00D12240"/>
    <w:rsid w:val="00D14EC7"/>
    <w:rsid w:val="00D22CAD"/>
    <w:rsid w:val="00D23C64"/>
    <w:rsid w:val="00D24B24"/>
    <w:rsid w:val="00D27584"/>
    <w:rsid w:val="00D27C49"/>
    <w:rsid w:val="00D33EF6"/>
    <w:rsid w:val="00D37797"/>
    <w:rsid w:val="00D403FA"/>
    <w:rsid w:val="00D40C1F"/>
    <w:rsid w:val="00D44309"/>
    <w:rsid w:val="00D46235"/>
    <w:rsid w:val="00D50617"/>
    <w:rsid w:val="00D533F1"/>
    <w:rsid w:val="00D63904"/>
    <w:rsid w:val="00D766CF"/>
    <w:rsid w:val="00D772B6"/>
    <w:rsid w:val="00D92751"/>
    <w:rsid w:val="00D95484"/>
    <w:rsid w:val="00DA3B77"/>
    <w:rsid w:val="00DA5EC6"/>
    <w:rsid w:val="00DB3524"/>
    <w:rsid w:val="00DC0A11"/>
    <w:rsid w:val="00DC0E14"/>
    <w:rsid w:val="00DC2492"/>
    <w:rsid w:val="00DC3E81"/>
    <w:rsid w:val="00DC67A0"/>
    <w:rsid w:val="00DC6CFF"/>
    <w:rsid w:val="00DD1192"/>
    <w:rsid w:val="00DD3A3B"/>
    <w:rsid w:val="00DD4EF7"/>
    <w:rsid w:val="00DD67C2"/>
    <w:rsid w:val="00DE184B"/>
    <w:rsid w:val="00DE7C8D"/>
    <w:rsid w:val="00E03F78"/>
    <w:rsid w:val="00E04C2F"/>
    <w:rsid w:val="00E05FF7"/>
    <w:rsid w:val="00E24FE1"/>
    <w:rsid w:val="00E2661E"/>
    <w:rsid w:val="00E346B5"/>
    <w:rsid w:val="00E42F5D"/>
    <w:rsid w:val="00E44E5A"/>
    <w:rsid w:val="00E546FF"/>
    <w:rsid w:val="00E7619D"/>
    <w:rsid w:val="00E85037"/>
    <w:rsid w:val="00E96B51"/>
    <w:rsid w:val="00EA0A68"/>
    <w:rsid w:val="00EA3972"/>
    <w:rsid w:val="00EB115B"/>
    <w:rsid w:val="00ED5112"/>
    <w:rsid w:val="00EE747B"/>
    <w:rsid w:val="00F0314B"/>
    <w:rsid w:val="00F04974"/>
    <w:rsid w:val="00F46A0B"/>
    <w:rsid w:val="00F52D6E"/>
    <w:rsid w:val="00F55F61"/>
    <w:rsid w:val="00F57549"/>
    <w:rsid w:val="00F605E2"/>
    <w:rsid w:val="00F70E98"/>
    <w:rsid w:val="00F73A9B"/>
    <w:rsid w:val="00F90B6C"/>
    <w:rsid w:val="00F97C3A"/>
    <w:rsid w:val="00FC3F48"/>
    <w:rsid w:val="00FC7B72"/>
    <w:rsid w:val="00FD5D75"/>
    <w:rsid w:val="00FD6D61"/>
    <w:rsid w:val="00FD728B"/>
    <w:rsid w:val="00FE004E"/>
    <w:rsid w:val="00FE154D"/>
    <w:rsid w:val="00FE1E94"/>
    <w:rsid w:val="00FE4C05"/>
    <w:rsid w:val="00FE7069"/>
    <w:rsid w:val="00FE7BCA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C2030"/>
  <w15:chartTrackingRefBased/>
  <w15:docId w15:val="{E3B1FF95-9797-478F-AA96-B8C87A91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textCharCharCharCharChar1CharChar">
    <w:name w:val="Tabletext Char Char Char Char Char1 Char Char"/>
    <w:basedOn w:val="Normal"/>
    <w:pPr>
      <w:spacing w:before="60" w:after="60"/>
    </w:pPr>
    <w:rPr>
      <w:rFonts w:ascii="Arial Narrow" w:hAnsi="Arial Narrow"/>
    </w:rPr>
  </w:style>
  <w:style w:type="paragraph" w:customStyle="1" w:styleId="numsub1">
    <w:name w:val="numsub1"/>
    <w:basedOn w:val="Normal"/>
    <w:pPr>
      <w:numPr>
        <w:ilvl w:val="4"/>
        <w:numId w:val="1"/>
      </w:numPr>
      <w:spacing w:before="20" w:after="20" w:line="288" w:lineRule="auto"/>
      <w:jc w:val="both"/>
      <w:outlineLvl w:val="4"/>
    </w:pPr>
    <w:rPr>
      <w:rFonts w:ascii="Arial Narrow" w:hAnsi="Arial Narrow"/>
    </w:rPr>
  </w:style>
  <w:style w:type="paragraph" w:customStyle="1" w:styleId="StyleHeading4Left01">
    <w:name w:val="Style Heading 4 + Left:  0&quot;1"/>
    <w:basedOn w:val="Heading4"/>
    <w:pPr>
      <w:numPr>
        <w:ilvl w:val="3"/>
        <w:numId w:val="1"/>
      </w:numPr>
      <w:tabs>
        <w:tab w:val="clear" w:pos="1418"/>
        <w:tab w:val="num" w:pos="360"/>
      </w:tabs>
      <w:spacing w:line="288" w:lineRule="auto"/>
      <w:ind w:left="709" w:firstLine="0"/>
      <w:jc w:val="both"/>
    </w:pPr>
    <w:rPr>
      <w:rFonts w:ascii="Arial Narrow" w:hAnsi="Arial Narrow"/>
      <w:kern w:val="32"/>
      <w:sz w:val="24"/>
      <w:szCs w:val="20"/>
    </w:rPr>
  </w:style>
  <w:style w:type="paragraph" w:customStyle="1" w:styleId="tablebullet">
    <w:name w:val="tablebullet"/>
    <w:basedOn w:val="Normal"/>
    <w:pPr>
      <w:numPr>
        <w:numId w:val="2"/>
      </w:numPr>
      <w:spacing w:before="120" w:after="120" w:line="288" w:lineRule="auto"/>
    </w:pPr>
    <w:rPr>
      <w:rFonts w:ascii="Arial Narrow" w:hAnsi="Arial Narrow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rsid w:val="00417090"/>
    <w:pPr>
      <w:spacing w:after="12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6C086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46938"/>
    <w:rPr>
      <w:sz w:val="16"/>
      <w:szCs w:val="16"/>
    </w:rPr>
  </w:style>
  <w:style w:type="paragraph" w:styleId="CommentText">
    <w:name w:val="annotation text"/>
    <w:basedOn w:val="Normal"/>
    <w:semiHidden/>
    <w:rsid w:val="002469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6938"/>
    <w:rPr>
      <w:b/>
      <w:bCs/>
    </w:rPr>
  </w:style>
  <w:style w:type="paragraph" w:customStyle="1" w:styleId="CharChar1CharCharCharCharCharChar">
    <w:name w:val="Char Char1 Char Char Char Char Char Char"/>
    <w:basedOn w:val="Normal"/>
    <w:rsid w:val="00052661"/>
    <w:pPr>
      <w:spacing w:after="160" w:line="240" w:lineRule="exact"/>
      <w:jc w:val="both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rsid w:val="00052661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66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0">
    <w:name w:val="style0"/>
    <w:basedOn w:val="Normal"/>
    <w:rsid w:val="007D460E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table" w:styleId="TableGrid">
    <w:name w:val="Table Grid"/>
    <w:basedOn w:val="TableNormal"/>
    <w:rsid w:val="008E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6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4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k.Watkins@map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</vt:lpstr>
    </vt:vector>
  </TitlesOfParts>
  <Company>DWP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</dc:title>
  <dc:subject/>
  <dc:creator>RadPack</dc:creator>
  <cp:keywords/>
  <cp:lastModifiedBy>Thomas, Hannah</cp:lastModifiedBy>
  <cp:revision>2</cp:revision>
  <cp:lastPrinted>2019-05-31T16:11:00Z</cp:lastPrinted>
  <dcterms:created xsi:type="dcterms:W3CDTF">2019-12-04T14:54:00Z</dcterms:created>
  <dcterms:modified xsi:type="dcterms:W3CDTF">2019-12-04T14:54:00Z</dcterms:modified>
</cp:coreProperties>
</file>